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Ind w:w="-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00CCFF"/>
        <w:tblLook w:val="04A0" w:firstRow="1" w:lastRow="0" w:firstColumn="1" w:lastColumn="0" w:noHBand="0" w:noVBand="1"/>
      </w:tblPr>
      <w:tblGrid>
        <w:gridCol w:w="6"/>
        <w:gridCol w:w="4870"/>
        <w:gridCol w:w="549"/>
        <w:gridCol w:w="9191"/>
        <w:gridCol w:w="7"/>
      </w:tblGrid>
      <w:tr w:rsidR="00A63B82" w14:paraId="6846F742" w14:textId="77777777" w:rsidTr="00A63B82">
        <w:trPr>
          <w:gridAfter w:val="1"/>
          <w:wAfter w:w="7" w:type="dxa"/>
        </w:trPr>
        <w:tc>
          <w:tcPr>
            <w:tcW w:w="14616" w:type="dxa"/>
            <w:gridSpan w:val="4"/>
            <w:shd w:val="clear" w:color="auto" w:fill="164FB1"/>
          </w:tcPr>
          <w:p w14:paraId="6CFAB036" w14:textId="77777777" w:rsidR="00A63B82" w:rsidRPr="00FE6F50" w:rsidRDefault="00A63B82" w:rsidP="00A63B82">
            <w:pPr>
              <w:rPr>
                <w:rFonts w:asciiTheme="majorHAnsi" w:hAnsiTheme="majorHAnsi"/>
                <w:b/>
                <w:color w:val="FFFFFF" w:themeColor="background1"/>
                <w:sz w:val="32"/>
                <w:szCs w:val="32"/>
              </w:rPr>
            </w:pPr>
            <w:bookmarkStart w:id="0" w:name="_GoBack"/>
            <w:bookmarkEnd w:id="0"/>
            <w:r>
              <w:rPr>
                <w:rFonts w:asciiTheme="majorHAnsi" w:hAnsiTheme="majorHAnsi"/>
                <w:b/>
                <w:bCs/>
                <w:color w:val="FFFFFF" w:themeColor="background1"/>
                <w:sz w:val="32"/>
                <w:szCs w:val="32"/>
              </w:rPr>
              <w:t xml:space="preserve">CONTRACTS &amp; </w:t>
            </w:r>
            <w:proofErr w:type="gramStart"/>
            <w:r>
              <w:rPr>
                <w:rFonts w:asciiTheme="majorHAnsi" w:hAnsiTheme="majorHAnsi"/>
                <w:b/>
                <w:bCs/>
                <w:color w:val="FFFFFF" w:themeColor="background1"/>
                <w:sz w:val="32"/>
                <w:szCs w:val="32"/>
              </w:rPr>
              <w:t xml:space="preserve">ADDENDUMS </w:t>
            </w:r>
            <w:r w:rsidRPr="00732D0A">
              <w:rPr>
                <w:rFonts w:asciiTheme="majorHAnsi" w:hAnsiTheme="majorHAnsi"/>
                <w:b/>
                <w:bCs/>
                <w:color w:val="FFFFFF" w:themeColor="background1"/>
                <w:sz w:val="32"/>
                <w:szCs w:val="32"/>
              </w:rPr>
              <w:t xml:space="preserve"> </w:t>
            </w:r>
            <w:proofErr w:type="gramEnd"/>
          </w:p>
        </w:tc>
      </w:tr>
      <w:tr w:rsidR="00A63B82" w14:paraId="04DAE97F" w14:textId="77777777" w:rsidTr="00A63B82">
        <w:tblPrEx>
          <w:shd w:val="clear" w:color="auto" w:fill="auto"/>
        </w:tblPrEx>
        <w:trPr>
          <w:gridBefore w:val="1"/>
          <w:wBefore w:w="6" w:type="dxa"/>
        </w:trPr>
        <w:tc>
          <w:tcPr>
            <w:tcW w:w="4870" w:type="dxa"/>
            <w:vAlign w:val="center"/>
          </w:tcPr>
          <w:p w14:paraId="063B3802" w14:textId="449F2BD6"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Residential Listing Agreement &amp; Sellers Advisory</w:t>
            </w:r>
          </w:p>
        </w:tc>
        <w:tc>
          <w:tcPr>
            <w:tcW w:w="549" w:type="dxa"/>
            <w:vAlign w:val="center"/>
          </w:tcPr>
          <w:p w14:paraId="28E06B89" w14:textId="131FDE29"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198" w:type="dxa"/>
            <w:gridSpan w:val="2"/>
            <w:vAlign w:val="center"/>
          </w:tcPr>
          <w:p w14:paraId="448A3332" w14:textId="3980534B"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 xml:space="preserve">A Residential Listing Agreement is a contract between a real estate broker (or their agent representatives, acting in the broker's name) and a seller of real property to give the broker the right to offer the property for sale. When a Residential Listing Agreement is signed it must be delivered to the Broker within 72 Hours. Brokers are required by the BRE to have a copy of all listing agreements on file in the broker's business office. The broker has the responsibility to accept or reject each listing within 5 calendar days as necessary. The broker will review the document for completeness and accuracy. Any incomplete or incorrect items must be corrected and returned to the Broker within 24 hours after notification to the agent. The Sellers Advisory </w:t>
            </w:r>
            <w:proofErr w:type="spellStart"/>
            <w:r w:rsidRPr="00A63B82">
              <w:rPr>
                <w:rFonts w:asciiTheme="majorHAnsi" w:eastAsia="Times New Roman" w:hAnsiTheme="majorHAnsi" w:cs="Arial"/>
                <w:color w:val="000000"/>
                <w:sz w:val="20"/>
                <w:szCs w:val="20"/>
              </w:rPr>
              <w:t>iis</w:t>
            </w:r>
            <w:proofErr w:type="spellEnd"/>
            <w:r w:rsidRPr="00A63B82">
              <w:rPr>
                <w:rFonts w:asciiTheme="majorHAnsi" w:eastAsia="Times New Roman" w:hAnsiTheme="majorHAnsi" w:cs="Arial"/>
                <w:color w:val="000000"/>
                <w:sz w:val="20"/>
                <w:szCs w:val="20"/>
              </w:rPr>
              <w:t xml:space="preserve"> attached to the Residential Listing Agreement. (RLA) (SA)</w:t>
            </w:r>
          </w:p>
        </w:tc>
      </w:tr>
      <w:tr w:rsidR="00A63B82" w14:paraId="3F538D2D" w14:textId="77777777" w:rsidTr="00A63B82">
        <w:tblPrEx>
          <w:shd w:val="clear" w:color="auto" w:fill="auto"/>
        </w:tblPrEx>
        <w:trPr>
          <w:gridBefore w:val="1"/>
          <w:wBefore w:w="6" w:type="dxa"/>
        </w:trPr>
        <w:tc>
          <w:tcPr>
            <w:tcW w:w="4870" w:type="dxa"/>
            <w:vAlign w:val="center"/>
          </w:tcPr>
          <w:p w14:paraId="5D3C68EE" w14:textId="29619526"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Residential Purchase Agreement </w:t>
            </w:r>
          </w:p>
        </w:tc>
        <w:tc>
          <w:tcPr>
            <w:tcW w:w="549" w:type="dxa"/>
            <w:vAlign w:val="center"/>
          </w:tcPr>
          <w:p w14:paraId="71924A59" w14:textId="489A765A"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198" w:type="dxa"/>
            <w:gridSpan w:val="2"/>
            <w:vAlign w:val="center"/>
          </w:tcPr>
          <w:p w14:paraId="143B3B03" w14:textId="0B0840F0"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The residential purchase agreement contains the comprehensive terms of the deal, including sales price, deposit, closing date, disclosure requirements, inspections, and fees agreed upon by both parties. Other provisions also are included, such as the buyer's final inspection and the method by which all real estate taxes and other bills will be pro-rated between buyer and seller. (RPA)</w:t>
            </w:r>
          </w:p>
        </w:tc>
      </w:tr>
      <w:tr w:rsidR="00A63B82" w14:paraId="210087C0" w14:textId="77777777" w:rsidTr="00A63B82">
        <w:tblPrEx>
          <w:shd w:val="clear" w:color="auto" w:fill="auto"/>
        </w:tblPrEx>
        <w:trPr>
          <w:gridBefore w:val="1"/>
          <w:wBefore w:w="6" w:type="dxa"/>
        </w:trPr>
        <w:tc>
          <w:tcPr>
            <w:tcW w:w="4870" w:type="dxa"/>
            <w:vAlign w:val="center"/>
          </w:tcPr>
          <w:p w14:paraId="035BBBD6" w14:textId="1FA39591"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Buyers Inspection Advisory</w:t>
            </w:r>
          </w:p>
        </w:tc>
        <w:tc>
          <w:tcPr>
            <w:tcW w:w="549" w:type="dxa"/>
            <w:vAlign w:val="center"/>
          </w:tcPr>
          <w:p w14:paraId="7141B4F7" w14:textId="68BB4205"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198" w:type="dxa"/>
            <w:gridSpan w:val="2"/>
            <w:vAlign w:val="center"/>
          </w:tcPr>
          <w:p w14:paraId="00C858BA" w14:textId="56AFDEC0"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The Buyers Inspection Advisory is a general property disclosure. It contains language that does not vary from transaction to transaction and is not property specific. It basically outlines the importance of understanding the condition of the property, the buyer's rights to investigate, and outlines a long list of potential types of inspections a buyer can obtain. It also reminds the buyers of the broker's and seller's disclosure duties in a transaction</w:t>
            </w:r>
            <w:proofErr w:type="gramStart"/>
            <w:r w:rsidRPr="00A63B82">
              <w:rPr>
                <w:rFonts w:asciiTheme="majorHAnsi" w:eastAsia="Times New Roman" w:hAnsiTheme="majorHAnsi" w:cs="Arial"/>
                <w:color w:val="000000"/>
                <w:sz w:val="20"/>
                <w:szCs w:val="20"/>
              </w:rPr>
              <w:t>.(</w:t>
            </w:r>
            <w:proofErr w:type="gramEnd"/>
            <w:r w:rsidRPr="00A63B82">
              <w:rPr>
                <w:rFonts w:asciiTheme="majorHAnsi" w:eastAsia="Times New Roman" w:hAnsiTheme="majorHAnsi" w:cs="Arial"/>
                <w:color w:val="000000"/>
                <w:sz w:val="20"/>
                <w:szCs w:val="20"/>
              </w:rPr>
              <w:t>BIA)</w:t>
            </w:r>
          </w:p>
        </w:tc>
      </w:tr>
      <w:tr w:rsidR="00A63B82" w14:paraId="4CCB217A" w14:textId="77777777" w:rsidTr="00A63B82">
        <w:tblPrEx>
          <w:shd w:val="clear" w:color="auto" w:fill="auto"/>
        </w:tblPrEx>
        <w:trPr>
          <w:gridBefore w:val="1"/>
          <w:wBefore w:w="6" w:type="dxa"/>
        </w:trPr>
        <w:tc>
          <w:tcPr>
            <w:tcW w:w="4870" w:type="dxa"/>
            <w:vAlign w:val="center"/>
          </w:tcPr>
          <w:p w14:paraId="2C64A2B9" w14:textId="6727C587"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Trust Advisory </w:t>
            </w:r>
            <w:proofErr w:type="gramStart"/>
            <w:r w:rsidRPr="00A63B82">
              <w:rPr>
                <w:rFonts w:asciiTheme="majorHAnsi" w:eastAsia="Times New Roman" w:hAnsiTheme="majorHAnsi" w:cs="Arial"/>
                <w:b/>
                <w:color w:val="000000"/>
              </w:rPr>
              <w:t>[ ]</w:t>
            </w:r>
            <w:proofErr w:type="gramEnd"/>
            <w:r w:rsidRPr="00A63B82">
              <w:rPr>
                <w:rFonts w:asciiTheme="majorHAnsi" w:eastAsia="Times New Roman" w:hAnsiTheme="majorHAnsi" w:cs="Arial"/>
                <w:b/>
                <w:color w:val="000000"/>
              </w:rPr>
              <w:t xml:space="preserve"> Probate Advisory [ ] </w:t>
            </w:r>
            <w:r>
              <w:rPr>
                <w:rFonts w:asciiTheme="majorHAnsi" w:eastAsia="Times New Roman" w:hAnsiTheme="majorHAnsi" w:cs="Arial"/>
                <w:b/>
                <w:color w:val="000000"/>
              </w:rPr>
              <w:br/>
            </w:r>
            <w:r w:rsidRPr="00A63B82">
              <w:rPr>
                <w:rFonts w:asciiTheme="majorHAnsi" w:eastAsia="Times New Roman" w:hAnsiTheme="majorHAnsi" w:cs="Arial"/>
                <w:b/>
                <w:color w:val="000000"/>
              </w:rPr>
              <w:t xml:space="preserve">REO Advisory [ ] </w:t>
            </w:r>
          </w:p>
        </w:tc>
        <w:tc>
          <w:tcPr>
            <w:tcW w:w="549" w:type="dxa"/>
            <w:vAlign w:val="center"/>
          </w:tcPr>
          <w:p w14:paraId="2BC36D9C" w14:textId="72E0A629"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198" w:type="dxa"/>
            <w:gridSpan w:val="2"/>
            <w:vAlign w:val="center"/>
          </w:tcPr>
          <w:p w14:paraId="0350C611" w14:textId="340141FE"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 xml:space="preserve">If the property is a trust sale </w:t>
            </w:r>
            <w:proofErr w:type="gramStart"/>
            <w:r w:rsidRPr="00A63B82">
              <w:rPr>
                <w:rFonts w:asciiTheme="majorHAnsi" w:eastAsia="Times New Roman" w:hAnsiTheme="majorHAnsi" w:cs="Arial"/>
                <w:color w:val="000000"/>
                <w:sz w:val="20"/>
                <w:szCs w:val="20"/>
              </w:rPr>
              <w:t>the Trust Advisory form must be completed by both the buyer and seller</w:t>
            </w:r>
            <w:proofErr w:type="gramEnd"/>
            <w:r w:rsidRPr="00A63B82">
              <w:rPr>
                <w:rFonts w:asciiTheme="majorHAnsi" w:eastAsia="Times New Roman" w:hAnsiTheme="majorHAnsi" w:cs="Arial"/>
                <w:color w:val="000000"/>
                <w:sz w:val="20"/>
                <w:szCs w:val="20"/>
              </w:rPr>
              <w:t xml:space="preserve">. (TA) If the property is a probate sale </w:t>
            </w:r>
            <w:proofErr w:type="gramStart"/>
            <w:r w:rsidRPr="00A63B82">
              <w:rPr>
                <w:rFonts w:asciiTheme="majorHAnsi" w:eastAsia="Times New Roman" w:hAnsiTheme="majorHAnsi" w:cs="Arial"/>
                <w:color w:val="000000"/>
                <w:sz w:val="20"/>
                <w:szCs w:val="20"/>
              </w:rPr>
              <w:t>the Probate Advisory form must be completed by both the buyer and seller</w:t>
            </w:r>
            <w:proofErr w:type="gramEnd"/>
            <w:r w:rsidRPr="00A63B82">
              <w:rPr>
                <w:rFonts w:asciiTheme="majorHAnsi" w:eastAsia="Times New Roman" w:hAnsiTheme="majorHAnsi" w:cs="Arial"/>
                <w:color w:val="000000"/>
                <w:sz w:val="20"/>
                <w:szCs w:val="20"/>
              </w:rPr>
              <w:t xml:space="preserve">. (PAK) If the property is a REO </w:t>
            </w:r>
            <w:proofErr w:type="gramStart"/>
            <w:r w:rsidRPr="00A63B82">
              <w:rPr>
                <w:rFonts w:asciiTheme="majorHAnsi" w:eastAsia="Times New Roman" w:hAnsiTheme="majorHAnsi" w:cs="Arial"/>
                <w:color w:val="000000"/>
                <w:sz w:val="20"/>
                <w:szCs w:val="20"/>
              </w:rPr>
              <w:t>the REO Advisory form must be completed by both the buyer and seller</w:t>
            </w:r>
            <w:proofErr w:type="gramEnd"/>
            <w:r w:rsidRPr="00A63B82">
              <w:rPr>
                <w:rFonts w:asciiTheme="majorHAnsi" w:eastAsia="Times New Roman" w:hAnsiTheme="majorHAnsi" w:cs="Arial"/>
                <w:color w:val="000000"/>
                <w:sz w:val="20"/>
                <w:szCs w:val="20"/>
              </w:rPr>
              <w:t>. (REO)</w:t>
            </w:r>
          </w:p>
        </w:tc>
      </w:tr>
      <w:tr w:rsidR="00A63B82" w14:paraId="1427D711" w14:textId="77777777" w:rsidTr="00A63B82">
        <w:tblPrEx>
          <w:shd w:val="clear" w:color="auto" w:fill="auto"/>
        </w:tblPrEx>
        <w:trPr>
          <w:gridBefore w:val="1"/>
          <w:wBefore w:w="6" w:type="dxa"/>
        </w:trPr>
        <w:tc>
          <w:tcPr>
            <w:tcW w:w="4870" w:type="dxa"/>
            <w:vAlign w:val="center"/>
          </w:tcPr>
          <w:p w14:paraId="27D0165C" w14:textId="5F308519"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Short Sale Information and Advisory </w:t>
            </w:r>
          </w:p>
        </w:tc>
        <w:tc>
          <w:tcPr>
            <w:tcW w:w="549" w:type="dxa"/>
            <w:vAlign w:val="center"/>
          </w:tcPr>
          <w:p w14:paraId="74F68FBA" w14:textId="2F5365C3"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198" w:type="dxa"/>
            <w:gridSpan w:val="2"/>
            <w:vAlign w:val="center"/>
          </w:tcPr>
          <w:p w14:paraId="31F4B746" w14:textId="60C47570"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 xml:space="preserve">If the property is a short sale then you must complete the Short Sale Information and Advisory. </w:t>
            </w:r>
            <w:proofErr w:type="gramStart"/>
            <w:r w:rsidRPr="00A63B82">
              <w:rPr>
                <w:rFonts w:asciiTheme="majorHAnsi" w:eastAsia="Times New Roman" w:hAnsiTheme="majorHAnsi" w:cs="Arial"/>
                <w:color w:val="000000"/>
                <w:sz w:val="20"/>
                <w:szCs w:val="20"/>
              </w:rPr>
              <w:t>This should be provided by the seller’s side</w:t>
            </w:r>
            <w:proofErr w:type="gramEnd"/>
            <w:r w:rsidRPr="00A63B82">
              <w:rPr>
                <w:rFonts w:asciiTheme="majorHAnsi" w:eastAsia="Times New Roman" w:hAnsiTheme="majorHAnsi" w:cs="Arial"/>
                <w:color w:val="000000"/>
                <w:sz w:val="20"/>
                <w:szCs w:val="20"/>
              </w:rPr>
              <w:t xml:space="preserve"> and the buyers side must countersign and date. This form basically outlines what a short sale is so everyone understands. (SSIA) </w:t>
            </w:r>
          </w:p>
        </w:tc>
      </w:tr>
      <w:tr w:rsidR="00A63B82" w14:paraId="25C693A6" w14:textId="77777777" w:rsidTr="00A63B82">
        <w:tblPrEx>
          <w:shd w:val="clear" w:color="auto" w:fill="auto"/>
        </w:tblPrEx>
        <w:trPr>
          <w:gridBefore w:val="1"/>
          <w:wBefore w:w="6" w:type="dxa"/>
        </w:trPr>
        <w:tc>
          <w:tcPr>
            <w:tcW w:w="4870" w:type="dxa"/>
            <w:vAlign w:val="center"/>
          </w:tcPr>
          <w:p w14:paraId="57726A76" w14:textId="636F045E"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Short Sale Addendum</w:t>
            </w:r>
          </w:p>
        </w:tc>
        <w:tc>
          <w:tcPr>
            <w:tcW w:w="549" w:type="dxa"/>
            <w:vAlign w:val="center"/>
          </w:tcPr>
          <w:p w14:paraId="5B6B0F0D" w14:textId="2D73AEDA"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198" w:type="dxa"/>
            <w:gridSpan w:val="2"/>
            <w:vAlign w:val="center"/>
          </w:tcPr>
          <w:p w14:paraId="352D4BED" w14:textId="28CAF8D1"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 xml:space="preserve">If the property is a short sale then you must complete the Short Sale Addendum. </w:t>
            </w:r>
            <w:proofErr w:type="gramStart"/>
            <w:r w:rsidRPr="00A63B82">
              <w:rPr>
                <w:rFonts w:asciiTheme="majorHAnsi" w:eastAsia="Times New Roman" w:hAnsiTheme="majorHAnsi" w:cs="Arial"/>
                <w:color w:val="000000"/>
                <w:sz w:val="20"/>
                <w:szCs w:val="20"/>
              </w:rPr>
              <w:t>This should be provided by the seller’s side</w:t>
            </w:r>
            <w:proofErr w:type="gramEnd"/>
            <w:r w:rsidRPr="00A63B82">
              <w:rPr>
                <w:rFonts w:asciiTheme="majorHAnsi" w:eastAsia="Times New Roman" w:hAnsiTheme="majorHAnsi" w:cs="Arial"/>
                <w:color w:val="000000"/>
                <w:sz w:val="20"/>
                <w:szCs w:val="20"/>
              </w:rPr>
              <w:t xml:space="preserve"> and the buyers side must countersign an date. This form basically outlines that the agreement is contingent upon lenders approval of the short sale. (SSA)</w:t>
            </w:r>
          </w:p>
        </w:tc>
      </w:tr>
      <w:tr w:rsidR="00A63B82" w14:paraId="40B6ACE1" w14:textId="77777777" w:rsidTr="00A63B82">
        <w:tblPrEx>
          <w:shd w:val="clear" w:color="auto" w:fill="auto"/>
        </w:tblPrEx>
        <w:trPr>
          <w:gridBefore w:val="1"/>
          <w:wBefore w:w="6" w:type="dxa"/>
        </w:trPr>
        <w:tc>
          <w:tcPr>
            <w:tcW w:w="4870" w:type="dxa"/>
            <w:vAlign w:val="center"/>
          </w:tcPr>
          <w:p w14:paraId="4E1B04E5" w14:textId="350786C1"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Short Sale Lenders Consent/Approval</w:t>
            </w:r>
          </w:p>
        </w:tc>
        <w:tc>
          <w:tcPr>
            <w:tcW w:w="549" w:type="dxa"/>
            <w:vAlign w:val="center"/>
          </w:tcPr>
          <w:p w14:paraId="7D97AADE" w14:textId="4A079FD6"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198" w:type="dxa"/>
            <w:gridSpan w:val="2"/>
            <w:vAlign w:val="center"/>
          </w:tcPr>
          <w:p w14:paraId="3E82F325" w14:textId="29B785D1" w:rsidR="00A63B82" w:rsidRPr="00A63B82" w:rsidRDefault="00A63B82" w:rsidP="00A63B82">
            <w:pPr>
              <w:rPr>
                <w:rFonts w:asciiTheme="majorHAnsi" w:hAnsiTheme="majorHAnsi"/>
                <w:sz w:val="20"/>
                <w:szCs w:val="20"/>
              </w:rPr>
            </w:pPr>
            <w:r w:rsidRPr="00A63B82">
              <w:rPr>
                <w:rFonts w:asciiTheme="majorHAnsi" w:eastAsia="Times New Roman" w:hAnsiTheme="majorHAnsi" w:cs="Arial"/>
                <w:sz w:val="20"/>
                <w:szCs w:val="20"/>
              </w:rPr>
              <w:t xml:space="preserve">Once </w:t>
            </w:r>
            <w:proofErr w:type="gramStart"/>
            <w:r w:rsidRPr="00A63B82">
              <w:rPr>
                <w:rFonts w:asciiTheme="majorHAnsi" w:eastAsia="Times New Roman" w:hAnsiTheme="majorHAnsi" w:cs="Arial"/>
                <w:sz w:val="20"/>
                <w:szCs w:val="20"/>
              </w:rPr>
              <w:t>an offer for a short sale purchase is agreed upon by the lender</w:t>
            </w:r>
            <w:proofErr w:type="gramEnd"/>
            <w:r w:rsidRPr="00A63B82">
              <w:rPr>
                <w:rFonts w:asciiTheme="majorHAnsi" w:eastAsia="Times New Roman" w:hAnsiTheme="majorHAnsi" w:cs="Arial"/>
                <w:sz w:val="20"/>
                <w:szCs w:val="20"/>
              </w:rPr>
              <w:t xml:space="preserve"> they will send an approval letter that outlines the terms under which the lender will authorize the sale. The letter includes the price, deadline for closing date and may address how the debt is treated. It may also include a dollar amount the seller must bring to closing or other terms. For the sale to actually proceed, the seller must agree to all the terms in the lender’s approval letter. The seller’s other option is to terminate the agreement. The sale will not move forward until the seller gives notice to the buyer that they have received the approval letter and have consented to the terms.</w:t>
            </w:r>
          </w:p>
        </w:tc>
      </w:tr>
      <w:tr w:rsidR="00A63B82" w14:paraId="16CEA86F" w14:textId="77777777" w:rsidTr="00A63B82">
        <w:tblPrEx>
          <w:shd w:val="clear" w:color="auto" w:fill="auto"/>
        </w:tblPrEx>
        <w:trPr>
          <w:gridBefore w:val="1"/>
          <w:wBefore w:w="6" w:type="dxa"/>
        </w:trPr>
        <w:tc>
          <w:tcPr>
            <w:tcW w:w="4870" w:type="dxa"/>
            <w:vAlign w:val="center"/>
          </w:tcPr>
          <w:p w14:paraId="3B1316CB" w14:textId="7BD1C98B"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Seller Counter Offer </w:t>
            </w:r>
            <w:r>
              <w:rPr>
                <w:rFonts w:asciiTheme="majorHAnsi" w:eastAsia="Times New Roman" w:hAnsiTheme="majorHAnsi" w:cs="Arial"/>
                <w:b/>
                <w:color w:val="000000"/>
              </w:rPr>
              <w:t xml:space="preserve">  </w:t>
            </w:r>
            <w:proofErr w:type="gramStart"/>
            <w:r w:rsidRPr="00A63B82">
              <w:rPr>
                <w:rFonts w:asciiTheme="majorHAnsi" w:eastAsia="Times New Roman" w:hAnsiTheme="majorHAnsi" w:cs="Arial"/>
                <w:b/>
                <w:color w:val="000000"/>
              </w:rPr>
              <w:t>[ ]</w:t>
            </w:r>
            <w:proofErr w:type="gramEnd"/>
            <w:r w:rsidRPr="00A63B82">
              <w:rPr>
                <w:rFonts w:asciiTheme="majorHAnsi" w:eastAsia="Times New Roman" w:hAnsiTheme="majorHAnsi" w:cs="Arial"/>
                <w:b/>
                <w:color w:val="000000"/>
              </w:rPr>
              <w:t xml:space="preserve"> #1 [ ] #2 [ ] #3</w:t>
            </w:r>
          </w:p>
        </w:tc>
        <w:tc>
          <w:tcPr>
            <w:tcW w:w="549" w:type="dxa"/>
            <w:vAlign w:val="center"/>
          </w:tcPr>
          <w:p w14:paraId="665E4887" w14:textId="218BA8E4"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198" w:type="dxa"/>
            <w:gridSpan w:val="2"/>
            <w:vAlign w:val="center"/>
          </w:tcPr>
          <w:p w14:paraId="4A115AA1" w14:textId="00957E44"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This form outlines the terms of the seller's counter offer. (SCO) or (SMCO)</w:t>
            </w:r>
          </w:p>
        </w:tc>
      </w:tr>
      <w:tr w:rsidR="00A63B82" w14:paraId="1478080B" w14:textId="77777777" w:rsidTr="00A63B82">
        <w:tblPrEx>
          <w:shd w:val="clear" w:color="auto" w:fill="auto"/>
        </w:tblPrEx>
        <w:trPr>
          <w:gridBefore w:val="1"/>
          <w:wBefore w:w="6" w:type="dxa"/>
        </w:trPr>
        <w:tc>
          <w:tcPr>
            <w:tcW w:w="4870" w:type="dxa"/>
            <w:vAlign w:val="center"/>
          </w:tcPr>
          <w:p w14:paraId="1301EB89" w14:textId="7E0EE945"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Buyer Counter Offer</w:t>
            </w:r>
            <w:r>
              <w:rPr>
                <w:rFonts w:asciiTheme="majorHAnsi" w:eastAsia="Times New Roman" w:hAnsiTheme="majorHAnsi" w:cs="Arial"/>
                <w:b/>
                <w:color w:val="000000"/>
              </w:rPr>
              <w:t xml:space="preserve">   </w:t>
            </w:r>
            <w:proofErr w:type="gramStart"/>
            <w:r w:rsidRPr="00A63B82">
              <w:rPr>
                <w:rFonts w:asciiTheme="majorHAnsi" w:eastAsia="Times New Roman" w:hAnsiTheme="majorHAnsi" w:cs="Arial"/>
                <w:b/>
                <w:color w:val="000000"/>
              </w:rPr>
              <w:t>[ ]</w:t>
            </w:r>
            <w:proofErr w:type="gramEnd"/>
            <w:r w:rsidRPr="00A63B82">
              <w:rPr>
                <w:rFonts w:asciiTheme="majorHAnsi" w:eastAsia="Times New Roman" w:hAnsiTheme="majorHAnsi" w:cs="Arial"/>
                <w:b/>
                <w:color w:val="000000"/>
              </w:rPr>
              <w:t xml:space="preserve"> #1 [ ] #2 [ ] #3</w:t>
            </w:r>
          </w:p>
        </w:tc>
        <w:tc>
          <w:tcPr>
            <w:tcW w:w="549" w:type="dxa"/>
            <w:vAlign w:val="center"/>
          </w:tcPr>
          <w:p w14:paraId="4BB59719" w14:textId="05DAE5A2"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198" w:type="dxa"/>
            <w:gridSpan w:val="2"/>
            <w:vAlign w:val="center"/>
          </w:tcPr>
          <w:p w14:paraId="1072857F" w14:textId="0219BA4B"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This form outlines the terms of the buyer's counter offer. (BCO)</w:t>
            </w:r>
          </w:p>
        </w:tc>
      </w:tr>
      <w:tr w:rsidR="00A63B82" w14:paraId="2936745E" w14:textId="77777777" w:rsidTr="00A63B82">
        <w:tblPrEx>
          <w:shd w:val="clear" w:color="auto" w:fill="auto"/>
        </w:tblPrEx>
        <w:trPr>
          <w:gridBefore w:val="1"/>
          <w:wBefore w:w="6" w:type="dxa"/>
        </w:trPr>
        <w:tc>
          <w:tcPr>
            <w:tcW w:w="4870" w:type="dxa"/>
            <w:vAlign w:val="center"/>
          </w:tcPr>
          <w:p w14:paraId="5BD95C98" w14:textId="3A9D872E"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Addendum </w:t>
            </w:r>
            <w:r>
              <w:rPr>
                <w:rFonts w:asciiTheme="majorHAnsi" w:eastAsia="Times New Roman" w:hAnsiTheme="majorHAnsi" w:cs="Arial"/>
                <w:b/>
                <w:color w:val="000000"/>
              </w:rPr>
              <w:t xml:space="preserve">  </w:t>
            </w:r>
            <w:proofErr w:type="gramStart"/>
            <w:r w:rsidRPr="00A63B82">
              <w:rPr>
                <w:rFonts w:asciiTheme="majorHAnsi" w:eastAsia="Times New Roman" w:hAnsiTheme="majorHAnsi" w:cs="Arial"/>
                <w:b/>
                <w:color w:val="000000"/>
              </w:rPr>
              <w:t>[ ]</w:t>
            </w:r>
            <w:proofErr w:type="gramEnd"/>
            <w:r w:rsidRPr="00A63B82">
              <w:rPr>
                <w:rFonts w:asciiTheme="majorHAnsi" w:eastAsia="Times New Roman" w:hAnsiTheme="majorHAnsi" w:cs="Arial"/>
                <w:b/>
                <w:color w:val="000000"/>
              </w:rPr>
              <w:t xml:space="preserve"> #1 [ ] #2 [ ] #3 [ ] </w:t>
            </w:r>
            <w:r>
              <w:rPr>
                <w:rFonts w:asciiTheme="majorHAnsi" w:eastAsia="Times New Roman" w:hAnsiTheme="majorHAnsi" w:cs="Arial"/>
                <w:b/>
                <w:color w:val="000000"/>
              </w:rPr>
              <w:br/>
            </w:r>
            <w:r w:rsidRPr="00A63B82">
              <w:rPr>
                <w:rFonts w:asciiTheme="majorHAnsi" w:eastAsia="Times New Roman" w:hAnsiTheme="majorHAnsi" w:cs="Arial"/>
                <w:b/>
                <w:color w:val="000000"/>
              </w:rPr>
              <w:t>Other______________________</w:t>
            </w:r>
          </w:p>
        </w:tc>
        <w:tc>
          <w:tcPr>
            <w:tcW w:w="549" w:type="dxa"/>
            <w:vAlign w:val="center"/>
          </w:tcPr>
          <w:p w14:paraId="3CC221D0" w14:textId="39A8312C"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198" w:type="dxa"/>
            <w:gridSpan w:val="2"/>
            <w:vAlign w:val="center"/>
          </w:tcPr>
          <w:p w14:paraId="7E98064B" w14:textId="300C7C95"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This form outlines the terms of the addendum to the Residential Purchase Agreement. (ADM)</w:t>
            </w:r>
          </w:p>
        </w:tc>
      </w:tr>
      <w:tr w:rsidR="00A63B82" w14:paraId="363A09E7" w14:textId="77777777" w:rsidTr="00A63B82">
        <w:tblPrEx>
          <w:shd w:val="clear" w:color="auto" w:fill="auto"/>
        </w:tblPrEx>
        <w:trPr>
          <w:gridBefore w:val="1"/>
          <w:wBefore w:w="6" w:type="dxa"/>
        </w:trPr>
        <w:tc>
          <w:tcPr>
            <w:tcW w:w="4870" w:type="dxa"/>
            <w:vAlign w:val="center"/>
          </w:tcPr>
          <w:p w14:paraId="291AFD36" w14:textId="1E40F656"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lastRenderedPageBreak/>
              <w:t>Sellers Purchase of Replacement Property</w:t>
            </w:r>
          </w:p>
        </w:tc>
        <w:tc>
          <w:tcPr>
            <w:tcW w:w="549" w:type="dxa"/>
            <w:vAlign w:val="center"/>
          </w:tcPr>
          <w:p w14:paraId="0B70C9E7" w14:textId="04733D1B"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198" w:type="dxa"/>
            <w:gridSpan w:val="2"/>
            <w:vAlign w:val="center"/>
          </w:tcPr>
          <w:p w14:paraId="00FE48C3" w14:textId="71750013"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This addendum provides a seller with a contingency to enter into a contract for a sale of their property contingent upon the seller finding/closing escrow on a replacement property</w:t>
            </w:r>
            <w:r w:rsidR="00985EFE" w:rsidRPr="00A63B82">
              <w:rPr>
                <w:rFonts w:asciiTheme="majorHAnsi" w:eastAsia="Times New Roman" w:hAnsiTheme="majorHAnsi" w:cs="Arial"/>
                <w:color w:val="000000"/>
                <w:sz w:val="20"/>
                <w:szCs w:val="20"/>
              </w:rPr>
              <w:t>. (</w:t>
            </w:r>
            <w:r w:rsidRPr="00A63B82">
              <w:rPr>
                <w:rFonts w:asciiTheme="majorHAnsi" w:eastAsia="Times New Roman" w:hAnsiTheme="majorHAnsi" w:cs="Arial"/>
                <w:color w:val="000000"/>
                <w:sz w:val="20"/>
                <w:szCs w:val="20"/>
              </w:rPr>
              <w:t>SPRP)</w:t>
            </w:r>
          </w:p>
        </w:tc>
      </w:tr>
      <w:tr w:rsidR="00A63B82" w14:paraId="5EE31C4B" w14:textId="77777777" w:rsidTr="00A63B82">
        <w:tblPrEx>
          <w:shd w:val="clear" w:color="auto" w:fill="auto"/>
        </w:tblPrEx>
        <w:trPr>
          <w:gridBefore w:val="1"/>
          <w:wBefore w:w="6" w:type="dxa"/>
        </w:trPr>
        <w:tc>
          <w:tcPr>
            <w:tcW w:w="4870" w:type="dxa"/>
            <w:vAlign w:val="center"/>
          </w:tcPr>
          <w:p w14:paraId="22390C17" w14:textId="3D3700B5"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Buyers Inspection Waiver</w:t>
            </w:r>
          </w:p>
        </w:tc>
        <w:tc>
          <w:tcPr>
            <w:tcW w:w="549" w:type="dxa"/>
            <w:vAlign w:val="center"/>
          </w:tcPr>
          <w:p w14:paraId="019197A4" w14:textId="53FBD94C"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198" w:type="dxa"/>
            <w:gridSpan w:val="2"/>
            <w:vAlign w:val="center"/>
          </w:tcPr>
          <w:p w14:paraId="4973146B" w14:textId="205BFF3E"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If you or your buyer doesn't want a home inspection then the Buyer Inspection Waiver needs to be filled out. (BIW)</w:t>
            </w:r>
          </w:p>
        </w:tc>
      </w:tr>
      <w:tr w:rsidR="00A63B82" w14:paraId="1D612205" w14:textId="77777777" w:rsidTr="00A63B82">
        <w:tblPrEx>
          <w:shd w:val="clear" w:color="auto" w:fill="auto"/>
        </w:tblPrEx>
        <w:trPr>
          <w:gridBefore w:val="1"/>
          <w:wBefore w:w="6" w:type="dxa"/>
        </w:trPr>
        <w:tc>
          <w:tcPr>
            <w:tcW w:w="4870" w:type="dxa"/>
            <w:vAlign w:val="center"/>
          </w:tcPr>
          <w:p w14:paraId="49C1633B" w14:textId="3349319E"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Modification of Terms / Addendum to</w:t>
            </w:r>
            <w:r>
              <w:rPr>
                <w:rFonts w:asciiTheme="majorHAnsi" w:eastAsia="Times New Roman" w:hAnsiTheme="majorHAnsi" w:cs="Arial"/>
                <w:b/>
                <w:color w:val="000000"/>
              </w:rPr>
              <w:br/>
            </w:r>
            <w:r w:rsidRPr="00A63B82">
              <w:rPr>
                <w:rFonts w:asciiTheme="majorHAnsi" w:eastAsia="Times New Roman" w:hAnsiTheme="majorHAnsi" w:cs="Arial"/>
                <w:b/>
                <w:color w:val="000000"/>
              </w:rPr>
              <w:t>Authorization and Right to Sell</w:t>
            </w:r>
          </w:p>
        </w:tc>
        <w:tc>
          <w:tcPr>
            <w:tcW w:w="549" w:type="dxa"/>
            <w:vAlign w:val="center"/>
          </w:tcPr>
          <w:p w14:paraId="1B089D30" w14:textId="7FCC240E"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198" w:type="dxa"/>
            <w:gridSpan w:val="2"/>
            <w:vAlign w:val="center"/>
          </w:tcPr>
          <w:p w14:paraId="3482EA3E" w14:textId="045BA679"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If applicable, have the seller sign the Modification of Terms/Addendum to Authorization and Right to Sell if you are changing the listing price or listing terms. (MT)</w:t>
            </w:r>
          </w:p>
        </w:tc>
      </w:tr>
      <w:tr w:rsidR="00A63B82" w14:paraId="64C34038" w14:textId="77777777" w:rsidTr="00A63B82">
        <w:tblPrEx>
          <w:shd w:val="clear" w:color="auto" w:fill="auto"/>
        </w:tblPrEx>
        <w:trPr>
          <w:gridBefore w:val="1"/>
          <w:wBefore w:w="6" w:type="dxa"/>
        </w:trPr>
        <w:tc>
          <w:tcPr>
            <w:tcW w:w="4870" w:type="dxa"/>
            <w:vAlign w:val="center"/>
          </w:tcPr>
          <w:p w14:paraId="3262D6F6" w14:textId="11F0B7DA"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Notice to Buyer to Perform</w:t>
            </w:r>
          </w:p>
        </w:tc>
        <w:tc>
          <w:tcPr>
            <w:tcW w:w="549" w:type="dxa"/>
            <w:vAlign w:val="center"/>
          </w:tcPr>
          <w:p w14:paraId="14DD573D" w14:textId="5590190E"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198" w:type="dxa"/>
            <w:gridSpan w:val="2"/>
            <w:vAlign w:val="center"/>
          </w:tcPr>
          <w:p w14:paraId="0A6877A9" w14:textId="4B0E253B"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If applicable, complete the Notice to Buyer to Perform. This form should be used when the buyer has not satisfied contingency requirements within the agreed upon time period; it's a notice to the buyer to complete required contractual actions asap. This notice also requires that the buyer provide a contingency removal declaration in response to the notice to perform. The Notice to Buyer to Perform must occur prior to the cancellation of any contract. (NBP)</w:t>
            </w:r>
          </w:p>
        </w:tc>
      </w:tr>
      <w:tr w:rsidR="00A63B82" w14:paraId="74CB4CA3" w14:textId="77777777" w:rsidTr="00A63B82">
        <w:tblPrEx>
          <w:shd w:val="clear" w:color="auto" w:fill="auto"/>
        </w:tblPrEx>
        <w:trPr>
          <w:gridBefore w:val="1"/>
          <w:wBefore w:w="6" w:type="dxa"/>
        </w:trPr>
        <w:tc>
          <w:tcPr>
            <w:tcW w:w="4870" w:type="dxa"/>
            <w:vAlign w:val="center"/>
          </w:tcPr>
          <w:p w14:paraId="31839C88" w14:textId="5AC9E3A3"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Notice to Seller to Perform</w:t>
            </w:r>
          </w:p>
        </w:tc>
        <w:tc>
          <w:tcPr>
            <w:tcW w:w="549" w:type="dxa"/>
            <w:vAlign w:val="center"/>
          </w:tcPr>
          <w:p w14:paraId="2118CE5F" w14:textId="141E248D"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198" w:type="dxa"/>
            <w:gridSpan w:val="2"/>
            <w:vAlign w:val="center"/>
          </w:tcPr>
          <w:p w14:paraId="4FB1D87E" w14:textId="6FECC3D3"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If applicable, complete the Notice to Seller to Perform. This form should be used when the seller is not performing within the agreed upon time period; it's a notice to the seller to complete required contractual actions asap. T The Notice to Seller to Perform must occur prior to the cancellation of any contract. (NSP)</w:t>
            </w:r>
          </w:p>
        </w:tc>
      </w:tr>
      <w:tr w:rsidR="00A63B82" w14:paraId="5BF69A1E" w14:textId="77777777" w:rsidTr="00A63B82">
        <w:tblPrEx>
          <w:shd w:val="clear" w:color="auto" w:fill="auto"/>
        </w:tblPrEx>
        <w:trPr>
          <w:gridBefore w:val="1"/>
          <w:wBefore w:w="6" w:type="dxa"/>
        </w:trPr>
        <w:tc>
          <w:tcPr>
            <w:tcW w:w="4870" w:type="dxa"/>
            <w:vAlign w:val="center"/>
          </w:tcPr>
          <w:p w14:paraId="3647F483" w14:textId="4857B372"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Contingency Removal </w:t>
            </w:r>
            <w:r>
              <w:rPr>
                <w:rFonts w:asciiTheme="majorHAnsi" w:eastAsia="Times New Roman" w:hAnsiTheme="majorHAnsi" w:cs="Arial"/>
                <w:b/>
                <w:color w:val="000000"/>
              </w:rPr>
              <w:t xml:space="preserve">  </w:t>
            </w:r>
            <w:proofErr w:type="gramStart"/>
            <w:r w:rsidRPr="00A63B82">
              <w:rPr>
                <w:rFonts w:asciiTheme="majorHAnsi" w:eastAsia="Times New Roman" w:hAnsiTheme="majorHAnsi" w:cs="Arial"/>
                <w:b/>
                <w:color w:val="000000"/>
              </w:rPr>
              <w:t>[ ]</w:t>
            </w:r>
            <w:proofErr w:type="gramEnd"/>
            <w:r w:rsidRPr="00A63B82">
              <w:rPr>
                <w:rFonts w:asciiTheme="majorHAnsi" w:eastAsia="Times New Roman" w:hAnsiTheme="majorHAnsi" w:cs="Arial"/>
                <w:b/>
                <w:color w:val="000000"/>
              </w:rPr>
              <w:t xml:space="preserve"> #1 [ ] #2 [ ] #3</w:t>
            </w:r>
          </w:p>
        </w:tc>
        <w:tc>
          <w:tcPr>
            <w:tcW w:w="549" w:type="dxa"/>
            <w:vAlign w:val="center"/>
          </w:tcPr>
          <w:p w14:paraId="017C23A1" w14:textId="636CEF5D"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198" w:type="dxa"/>
            <w:gridSpan w:val="2"/>
            <w:vAlign w:val="center"/>
          </w:tcPr>
          <w:p w14:paraId="126F8965" w14:textId="03D7FF6B"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If applicable, this is a form a buyer fills out when they are going to agree to removing contingencies. Common contingencies filled out on a Purchase and Sale agreement would be a loan contingency, appraisal contingency, a reports/disclosure contingency, a condo/planned development HOA disclosure contingency, and a buyer’s inspection contingency. (CR)</w:t>
            </w:r>
          </w:p>
        </w:tc>
      </w:tr>
      <w:tr w:rsidR="00A63B82" w14:paraId="5D4EB4AD" w14:textId="77777777" w:rsidTr="00A63B82">
        <w:tblPrEx>
          <w:shd w:val="clear" w:color="auto" w:fill="auto"/>
        </w:tblPrEx>
        <w:trPr>
          <w:gridBefore w:val="1"/>
          <w:wBefore w:w="6" w:type="dxa"/>
        </w:trPr>
        <w:tc>
          <w:tcPr>
            <w:tcW w:w="4870" w:type="dxa"/>
            <w:vAlign w:val="center"/>
          </w:tcPr>
          <w:p w14:paraId="6B9AAB13" w14:textId="355FECAD"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Extension of Time Addendum</w:t>
            </w:r>
          </w:p>
        </w:tc>
        <w:tc>
          <w:tcPr>
            <w:tcW w:w="549" w:type="dxa"/>
            <w:vAlign w:val="center"/>
          </w:tcPr>
          <w:p w14:paraId="27A1DA23" w14:textId="6527C130"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198" w:type="dxa"/>
            <w:gridSpan w:val="2"/>
            <w:vAlign w:val="center"/>
          </w:tcPr>
          <w:p w14:paraId="073A294A" w14:textId="626FD53A"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If applicable, complete the Extension of Time Addendum if you need to extend Escrow or extend any contingencies. (ETA)</w:t>
            </w:r>
          </w:p>
        </w:tc>
      </w:tr>
      <w:tr w:rsidR="00A63B82" w14:paraId="5E8CC1E6" w14:textId="77777777" w:rsidTr="00A63B82">
        <w:tblPrEx>
          <w:shd w:val="clear" w:color="auto" w:fill="auto"/>
        </w:tblPrEx>
        <w:trPr>
          <w:gridBefore w:val="1"/>
          <w:wBefore w:w="6" w:type="dxa"/>
        </w:trPr>
        <w:tc>
          <w:tcPr>
            <w:tcW w:w="4870" w:type="dxa"/>
            <w:vAlign w:val="center"/>
          </w:tcPr>
          <w:p w14:paraId="370519B9" w14:textId="3C07835D"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Seller Instruction to Exclude Listing From Internet </w:t>
            </w:r>
          </w:p>
        </w:tc>
        <w:tc>
          <w:tcPr>
            <w:tcW w:w="549" w:type="dxa"/>
            <w:vAlign w:val="center"/>
          </w:tcPr>
          <w:p w14:paraId="59B89BFB" w14:textId="412B38B0"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198" w:type="dxa"/>
            <w:gridSpan w:val="2"/>
            <w:vAlign w:val="center"/>
          </w:tcPr>
          <w:p w14:paraId="1A44DADB" w14:textId="754CAB00"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If applicable, have the seller sign and fill out the Seller to Exclude Listing from Internet. We would use this if the property is still being rehabbed and it's not ready to hit the MLS yet. (SELI)</w:t>
            </w:r>
          </w:p>
        </w:tc>
      </w:tr>
      <w:tr w:rsidR="00A63B82" w14:paraId="6D94588C" w14:textId="77777777" w:rsidTr="00A63B82">
        <w:tblPrEx>
          <w:shd w:val="clear" w:color="auto" w:fill="auto"/>
        </w:tblPrEx>
        <w:trPr>
          <w:gridBefore w:val="1"/>
          <w:wBefore w:w="6" w:type="dxa"/>
        </w:trPr>
        <w:tc>
          <w:tcPr>
            <w:tcW w:w="4870" w:type="dxa"/>
            <w:vAlign w:val="center"/>
          </w:tcPr>
          <w:p w14:paraId="58F77330" w14:textId="678BFE0B"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Increased Deposit/Liquidated </w:t>
            </w:r>
            <w:r>
              <w:rPr>
                <w:rFonts w:asciiTheme="majorHAnsi" w:eastAsia="Times New Roman" w:hAnsiTheme="majorHAnsi" w:cs="Arial"/>
                <w:b/>
                <w:color w:val="000000"/>
              </w:rPr>
              <w:br/>
            </w:r>
            <w:r w:rsidRPr="00A63B82">
              <w:rPr>
                <w:rFonts w:asciiTheme="majorHAnsi" w:eastAsia="Times New Roman" w:hAnsiTheme="majorHAnsi" w:cs="Arial"/>
                <w:b/>
                <w:color w:val="000000"/>
              </w:rPr>
              <w:t>Damages Addendum</w:t>
            </w:r>
          </w:p>
        </w:tc>
        <w:tc>
          <w:tcPr>
            <w:tcW w:w="549" w:type="dxa"/>
            <w:vAlign w:val="center"/>
          </w:tcPr>
          <w:p w14:paraId="280AE217" w14:textId="322A8125"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198" w:type="dxa"/>
            <w:gridSpan w:val="2"/>
            <w:vAlign w:val="center"/>
          </w:tcPr>
          <w:p w14:paraId="4490442D" w14:textId="37C6F66A"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If applicable, have the buyer agree to release their deposit as liquidated damages if they fail to close. (RID)</w:t>
            </w:r>
          </w:p>
        </w:tc>
      </w:tr>
      <w:tr w:rsidR="00A63B82" w14:paraId="011AF6A0" w14:textId="77777777" w:rsidTr="00A63B82">
        <w:tblPrEx>
          <w:shd w:val="clear" w:color="auto" w:fill="auto"/>
        </w:tblPrEx>
        <w:trPr>
          <w:gridBefore w:val="1"/>
          <w:wBefore w:w="6" w:type="dxa"/>
        </w:trPr>
        <w:tc>
          <w:tcPr>
            <w:tcW w:w="4870" w:type="dxa"/>
            <w:vAlign w:val="center"/>
          </w:tcPr>
          <w:p w14:paraId="1B98A740" w14:textId="54FFD214"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Cancellation of Contract</w:t>
            </w:r>
          </w:p>
        </w:tc>
        <w:tc>
          <w:tcPr>
            <w:tcW w:w="549" w:type="dxa"/>
            <w:vAlign w:val="center"/>
          </w:tcPr>
          <w:p w14:paraId="4A54FC18" w14:textId="23A92DAD"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198" w:type="dxa"/>
            <w:gridSpan w:val="2"/>
            <w:vAlign w:val="center"/>
          </w:tcPr>
          <w:p w14:paraId="39580740" w14:textId="66E801FE"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If applicable, complete the Cancellation of Contract. The Notice to Buyer to Perform or Notice to Seller to Perform must be given out first. (CC)</w:t>
            </w:r>
          </w:p>
        </w:tc>
      </w:tr>
      <w:tr w:rsidR="00A63B82" w14:paraId="66131614" w14:textId="77777777" w:rsidTr="00A63B82">
        <w:tblPrEx>
          <w:shd w:val="clear" w:color="auto" w:fill="auto"/>
        </w:tblPrEx>
        <w:trPr>
          <w:gridBefore w:val="1"/>
          <w:wBefore w:w="6" w:type="dxa"/>
        </w:trPr>
        <w:tc>
          <w:tcPr>
            <w:tcW w:w="4870" w:type="dxa"/>
            <w:vAlign w:val="center"/>
          </w:tcPr>
          <w:p w14:paraId="436F4A27" w14:textId="71FDA490" w:rsidR="00A63B82" w:rsidRPr="00A63B82" w:rsidRDefault="00A63B82" w:rsidP="00A63B82">
            <w:pPr>
              <w:pStyle w:val="ListParagraph"/>
              <w:numPr>
                <w:ilvl w:val="0"/>
                <w:numId w:val="6"/>
              </w:numPr>
              <w:ind w:left="361"/>
              <w:rPr>
                <w:rFonts w:asciiTheme="majorHAnsi" w:eastAsia="Times New Roman" w:hAnsiTheme="majorHAnsi" w:cs="Arial"/>
                <w:b/>
                <w:color w:val="000000"/>
              </w:rPr>
            </w:pPr>
            <w:r w:rsidRPr="00A63B82">
              <w:rPr>
                <w:rFonts w:asciiTheme="majorHAnsi" w:eastAsia="Times New Roman" w:hAnsiTheme="majorHAnsi" w:cs="Arial"/>
                <w:b/>
                <w:color w:val="000000"/>
              </w:rPr>
              <w:t>Other__________________________</w:t>
            </w:r>
          </w:p>
        </w:tc>
        <w:tc>
          <w:tcPr>
            <w:tcW w:w="549" w:type="dxa"/>
            <w:vAlign w:val="center"/>
          </w:tcPr>
          <w:p w14:paraId="1F7C894B" w14:textId="2C4A1965"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198" w:type="dxa"/>
            <w:gridSpan w:val="2"/>
            <w:vAlign w:val="center"/>
          </w:tcPr>
          <w:p w14:paraId="07ABD4E5" w14:textId="77777777" w:rsidR="00A63B82" w:rsidRPr="00A63B82" w:rsidRDefault="00A63B82" w:rsidP="00A63B82">
            <w:pPr>
              <w:rPr>
                <w:rFonts w:asciiTheme="majorHAnsi" w:hAnsiTheme="majorHAnsi"/>
                <w:sz w:val="20"/>
                <w:szCs w:val="20"/>
              </w:rPr>
            </w:pPr>
          </w:p>
        </w:tc>
      </w:tr>
      <w:tr w:rsidR="00A63B82" w14:paraId="07CED7F0" w14:textId="77777777" w:rsidTr="00A63B82">
        <w:tblPrEx>
          <w:shd w:val="clear" w:color="auto" w:fill="auto"/>
        </w:tblPrEx>
        <w:trPr>
          <w:gridBefore w:val="1"/>
          <w:wBefore w:w="6" w:type="dxa"/>
        </w:trPr>
        <w:tc>
          <w:tcPr>
            <w:tcW w:w="4870" w:type="dxa"/>
            <w:vAlign w:val="center"/>
          </w:tcPr>
          <w:p w14:paraId="3775E300" w14:textId="752B1ADC"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Other__________________________</w:t>
            </w:r>
          </w:p>
        </w:tc>
        <w:tc>
          <w:tcPr>
            <w:tcW w:w="549" w:type="dxa"/>
            <w:vAlign w:val="center"/>
          </w:tcPr>
          <w:p w14:paraId="409256D5" w14:textId="31BCFF79"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198" w:type="dxa"/>
            <w:gridSpan w:val="2"/>
            <w:vAlign w:val="center"/>
          </w:tcPr>
          <w:p w14:paraId="491A0F6E" w14:textId="77777777" w:rsidR="00A63B82" w:rsidRPr="00A63B82" w:rsidRDefault="00A63B82" w:rsidP="00A63B82">
            <w:pPr>
              <w:rPr>
                <w:rFonts w:asciiTheme="majorHAnsi" w:hAnsiTheme="majorHAnsi"/>
                <w:sz w:val="20"/>
                <w:szCs w:val="20"/>
              </w:rPr>
            </w:pPr>
          </w:p>
        </w:tc>
      </w:tr>
    </w:tbl>
    <w:p w14:paraId="3DDD6A0A" w14:textId="77777777" w:rsidR="00985EFE" w:rsidRDefault="00985EFE" w:rsidP="00A63B82">
      <w:pPr>
        <w:rPr>
          <w:rFonts w:asciiTheme="majorHAnsi" w:hAnsiTheme="majorHAnsi"/>
          <w:b/>
          <w:sz w:val="20"/>
          <w:szCs w:val="20"/>
        </w:rPr>
      </w:pPr>
    </w:p>
    <w:p w14:paraId="26DB7266" w14:textId="77777777" w:rsidR="00A63B82" w:rsidRPr="00A63B82" w:rsidRDefault="00A63B82" w:rsidP="00A63B82">
      <w:pPr>
        <w:rPr>
          <w:rFonts w:asciiTheme="majorHAnsi" w:eastAsia="Times New Roman" w:hAnsiTheme="majorHAnsi" w:cs="Times New Roman"/>
          <w:sz w:val="20"/>
          <w:szCs w:val="20"/>
        </w:rPr>
      </w:pPr>
      <w:r w:rsidRPr="00A63B82">
        <w:rPr>
          <w:rFonts w:asciiTheme="majorHAnsi" w:hAnsiTheme="majorHAnsi"/>
          <w:b/>
          <w:sz w:val="20"/>
          <w:szCs w:val="20"/>
        </w:rPr>
        <w:t>Note:</w:t>
      </w:r>
      <w:r w:rsidRPr="00A63B82">
        <w:rPr>
          <w:rFonts w:asciiTheme="majorHAnsi" w:hAnsiTheme="majorHAnsi"/>
          <w:sz w:val="20"/>
          <w:szCs w:val="20"/>
        </w:rPr>
        <w:t xml:space="preserve"> </w:t>
      </w:r>
      <w:r w:rsidRPr="00A63B82">
        <w:rPr>
          <w:rFonts w:asciiTheme="majorHAnsi" w:eastAsia="Times New Roman" w:hAnsiTheme="majorHAnsi" w:cs="Arial"/>
          <w:color w:val="000000"/>
          <w:sz w:val="20"/>
          <w:szCs w:val="20"/>
        </w:rPr>
        <w:t>You will want to modify this list depending on the transaction type and state you are closing in. Not all documents are required for every closing.</w:t>
      </w:r>
    </w:p>
    <w:p w14:paraId="73036FD5" w14:textId="77777777" w:rsidR="00A63B82" w:rsidRDefault="00A63B82">
      <w:pPr>
        <w:rPr>
          <w:rFonts w:asciiTheme="majorHAnsi" w:hAnsiTheme="majorHAnsi"/>
          <w:sz w:val="20"/>
          <w:szCs w:val="20"/>
        </w:rPr>
      </w:pPr>
      <w:r w:rsidRPr="00A63B82">
        <w:rPr>
          <w:rFonts w:asciiTheme="majorHAnsi" w:hAnsiTheme="majorHAnsi"/>
          <w:b/>
          <w:sz w:val="20"/>
          <w:szCs w:val="20"/>
        </w:rPr>
        <w:t>M</w:t>
      </w:r>
      <w:r w:rsidRPr="00A63B82">
        <w:rPr>
          <w:rFonts w:asciiTheme="majorHAnsi" w:hAnsiTheme="majorHAnsi"/>
          <w:sz w:val="20"/>
          <w:szCs w:val="20"/>
        </w:rPr>
        <w:t xml:space="preserve"> = Mandatory | </w:t>
      </w:r>
      <w:r w:rsidRPr="00A63B82">
        <w:rPr>
          <w:rFonts w:asciiTheme="majorHAnsi" w:hAnsiTheme="majorHAnsi"/>
          <w:b/>
          <w:sz w:val="20"/>
          <w:szCs w:val="20"/>
        </w:rPr>
        <w:t>IA</w:t>
      </w:r>
      <w:r w:rsidRPr="00A63B82">
        <w:rPr>
          <w:rFonts w:asciiTheme="majorHAnsi" w:hAnsiTheme="majorHAnsi"/>
          <w:sz w:val="20"/>
          <w:szCs w:val="20"/>
        </w:rPr>
        <w:t xml:space="preserve"> = If Applicable</w:t>
      </w:r>
    </w:p>
    <w:p w14:paraId="498373E9" w14:textId="77777777" w:rsidR="00A63B82" w:rsidRDefault="00A63B82">
      <w:pPr>
        <w:rPr>
          <w:rFonts w:asciiTheme="majorHAnsi" w:hAnsiTheme="majorHAnsi"/>
          <w:sz w:val="20"/>
          <w:szCs w:val="20"/>
        </w:rPr>
      </w:pPr>
    </w:p>
    <w:p w14:paraId="5302A063" w14:textId="77777777" w:rsidR="00A63B82" w:rsidRDefault="00A63B82">
      <w:pPr>
        <w:rPr>
          <w:rFonts w:asciiTheme="majorHAnsi" w:hAnsiTheme="majorHAnsi"/>
          <w:sz w:val="20"/>
          <w:szCs w:val="20"/>
        </w:rPr>
      </w:pPr>
    </w:p>
    <w:p w14:paraId="26CFE1A3" w14:textId="77777777" w:rsidR="00A63B82" w:rsidRDefault="00A63B82">
      <w:pPr>
        <w:rPr>
          <w:rFonts w:asciiTheme="majorHAnsi" w:hAnsiTheme="majorHAnsi"/>
          <w:sz w:val="20"/>
          <w:szCs w:val="20"/>
        </w:rPr>
      </w:pPr>
    </w:p>
    <w:p w14:paraId="101004BB" w14:textId="77777777" w:rsidR="00A63B82" w:rsidRDefault="00A63B82">
      <w:pPr>
        <w:rPr>
          <w:rFonts w:asciiTheme="majorHAnsi" w:hAnsiTheme="majorHAnsi"/>
          <w:sz w:val="20"/>
          <w:szCs w:val="20"/>
        </w:rPr>
      </w:pPr>
    </w:p>
    <w:p w14:paraId="51923D98" w14:textId="77777777" w:rsidR="00A63B82" w:rsidRDefault="00A63B82">
      <w:pPr>
        <w:rPr>
          <w:rFonts w:asciiTheme="majorHAnsi" w:hAnsiTheme="majorHAnsi"/>
          <w:sz w:val="20"/>
          <w:szCs w:val="20"/>
        </w:rPr>
      </w:pPr>
    </w:p>
    <w:p w14:paraId="7251CAE1" w14:textId="77777777" w:rsidR="00A63B82" w:rsidRDefault="00A63B82">
      <w:pPr>
        <w:rPr>
          <w:rFonts w:asciiTheme="majorHAnsi" w:hAnsiTheme="majorHAnsi"/>
          <w:sz w:val="20"/>
          <w:szCs w:val="20"/>
        </w:rPr>
      </w:pPr>
    </w:p>
    <w:p w14:paraId="46E111B3" w14:textId="77777777" w:rsidR="00A63B82" w:rsidRDefault="00A63B82">
      <w:pPr>
        <w:rPr>
          <w:rFonts w:asciiTheme="majorHAnsi" w:hAnsiTheme="majorHAnsi"/>
          <w:sz w:val="20"/>
          <w:szCs w:val="20"/>
        </w:rPr>
      </w:pPr>
    </w:p>
    <w:tbl>
      <w:tblPr>
        <w:tblStyle w:val="TableGrid"/>
        <w:tblW w:w="0" w:type="auto"/>
        <w:tblInd w:w="-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00CCFF"/>
        <w:tblLook w:val="04A0" w:firstRow="1" w:lastRow="0" w:firstColumn="1" w:lastColumn="0" w:noHBand="0" w:noVBand="1"/>
      </w:tblPr>
      <w:tblGrid>
        <w:gridCol w:w="6"/>
        <w:gridCol w:w="4983"/>
        <w:gridCol w:w="545"/>
        <w:gridCol w:w="9082"/>
        <w:gridCol w:w="7"/>
      </w:tblGrid>
      <w:tr w:rsidR="00A63B82" w14:paraId="084C0CC8" w14:textId="77777777" w:rsidTr="00A63B82">
        <w:trPr>
          <w:gridAfter w:val="1"/>
          <w:wAfter w:w="7" w:type="dxa"/>
        </w:trPr>
        <w:tc>
          <w:tcPr>
            <w:tcW w:w="14616" w:type="dxa"/>
            <w:gridSpan w:val="4"/>
            <w:shd w:val="clear" w:color="auto" w:fill="164FB1"/>
          </w:tcPr>
          <w:p w14:paraId="085A3912" w14:textId="0D7201F2" w:rsidR="00A63B82" w:rsidRPr="00FE6F50" w:rsidRDefault="00A63B82" w:rsidP="00A63B82">
            <w:pPr>
              <w:rPr>
                <w:rFonts w:asciiTheme="majorHAnsi" w:hAnsiTheme="majorHAnsi"/>
                <w:b/>
                <w:color w:val="FFFFFF" w:themeColor="background1"/>
                <w:sz w:val="32"/>
                <w:szCs w:val="32"/>
              </w:rPr>
            </w:pPr>
            <w:r>
              <w:rPr>
                <w:rFonts w:asciiTheme="majorHAnsi" w:hAnsiTheme="majorHAnsi"/>
                <w:b/>
                <w:bCs/>
                <w:color w:val="FFFFFF" w:themeColor="background1"/>
                <w:sz w:val="32"/>
                <w:szCs w:val="32"/>
              </w:rPr>
              <w:lastRenderedPageBreak/>
              <w:t xml:space="preserve">DISCLOSURES </w:t>
            </w:r>
            <w:r w:rsidRPr="00732D0A">
              <w:rPr>
                <w:rFonts w:asciiTheme="majorHAnsi" w:hAnsiTheme="majorHAnsi"/>
                <w:b/>
                <w:bCs/>
                <w:color w:val="FFFFFF" w:themeColor="background1"/>
                <w:sz w:val="32"/>
                <w:szCs w:val="32"/>
              </w:rPr>
              <w:t xml:space="preserve"> </w:t>
            </w:r>
          </w:p>
        </w:tc>
      </w:tr>
      <w:tr w:rsidR="00A63B82" w14:paraId="3A770519" w14:textId="77777777" w:rsidTr="00A63B82">
        <w:tblPrEx>
          <w:shd w:val="clear" w:color="auto" w:fill="auto"/>
        </w:tblPrEx>
        <w:trPr>
          <w:gridBefore w:val="1"/>
          <w:wBefore w:w="6" w:type="dxa"/>
        </w:trPr>
        <w:tc>
          <w:tcPr>
            <w:tcW w:w="4983" w:type="dxa"/>
            <w:vAlign w:val="center"/>
          </w:tcPr>
          <w:p w14:paraId="1102F591" w14:textId="6332572F"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Agency Disclosure </w:t>
            </w:r>
            <w:proofErr w:type="gramStart"/>
            <w:r w:rsidRPr="00A63B82">
              <w:rPr>
                <w:rFonts w:asciiTheme="majorHAnsi" w:eastAsia="Times New Roman" w:hAnsiTheme="majorHAnsi" w:cs="Arial"/>
                <w:b/>
                <w:color w:val="000000"/>
              </w:rPr>
              <w:t>[ ]</w:t>
            </w:r>
            <w:proofErr w:type="gramEnd"/>
            <w:r w:rsidRPr="00A63B82">
              <w:rPr>
                <w:rFonts w:asciiTheme="majorHAnsi" w:eastAsia="Times New Roman" w:hAnsiTheme="majorHAnsi" w:cs="Arial"/>
                <w:b/>
                <w:color w:val="000000"/>
              </w:rPr>
              <w:t xml:space="preserve"> Listing Firm to Seller </w:t>
            </w:r>
            <w:r>
              <w:rPr>
                <w:rFonts w:asciiTheme="majorHAnsi" w:eastAsia="Times New Roman" w:hAnsiTheme="majorHAnsi" w:cs="Arial"/>
                <w:b/>
                <w:color w:val="000000"/>
              </w:rPr>
              <w:br/>
            </w:r>
            <w:r w:rsidRPr="00A63B82">
              <w:rPr>
                <w:rFonts w:asciiTheme="majorHAnsi" w:eastAsia="Times New Roman" w:hAnsiTheme="majorHAnsi" w:cs="Arial"/>
                <w:b/>
                <w:color w:val="000000"/>
              </w:rPr>
              <w:t xml:space="preserve">[ ] Selling Firm to Buyer </w:t>
            </w:r>
            <w:r>
              <w:rPr>
                <w:rFonts w:asciiTheme="majorHAnsi" w:eastAsia="Times New Roman" w:hAnsiTheme="majorHAnsi" w:cs="Arial"/>
                <w:b/>
                <w:color w:val="000000"/>
              </w:rPr>
              <w:br/>
            </w:r>
            <w:r w:rsidRPr="00A63B82">
              <w:rPr>
                <w:rFonts w:asciiTheme="majorHAnsi" w:eastAsia="Times New Roman" w:hAnsiTheme="majorHAnsi" w:cs="Arial"/>
                <w:b/>
                <w:color w:val="000000"/>
              </w:rPr>
              <w:t>[ ] Selling Firm to Seller</w:t>
            </w:r>
          </w:p>
        </w:tc>
        <w:tc>
          <w:tcPr>
            <w:tcW w:w="545" w:type="dxa"/>
            <w:vAlign w:val="center"/>
          </w:tcPr>
          <w:p w14:paraId="39936317" w14:textId="46BE5616"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089" w:type="dxa"/>
            <w:gridSpan w:val="2"/>
            <w:vAlign w:val="center"/>
          </w:tcPr>
          <w:p w14:paraId="664D31A9" w14:textId="121917BE"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The seller must receive the Agency Disclosure form before a Residential Listing Agreement is signed. The purpose of the disclosure is to make sure that every person who hires a real estate agent is given the opportunity to learn how agency works. This is a mandatory form. (AD)</w:t>
            </w:r>
          </w:p>
        </w:tc>
      </w:tr>
      <w:tr w:rsidR="00A63B82" w14:paraId="00BED132" w14:textId="77777777" w:rsidTr="00A63B82">
        <w:tblPrEx>
          <w:shd w:val="clear" w:color="auto" w:fill="auto"/>
        </w:tblPrEx>
        <w:trPr>
          <w:gridBefore w:val="1"/>
          <w:wBefore w:w="6" w:type="dxa"/>
        </w:trPr>
        <w:tc>
          <w:tcPr>
            <w:tcW w:w="4983" w:type="dxa"/>
            <w:vAlign w:val="center"/>
          </w:tcPr>
          <w:p w14:paraId="030B6EB8" w14:textId="7F31073E"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Possible Representation of More Than One Buyer or Seller </w:t>
            </w:r>
          </w:p>
        </w:tc>
        <w:tc>
          <w:tcPr>
            <w:tcW w:w="545" w:type="dxa"/>
            <w:vAlign w:val="center"/>
          </w:tcPr>
          <w:p w14:paraId="68A34C21" w14:textId="0EF967CE"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089" w:type="dxa"/>
            <w:gridSpan w:val="2"/>
            <w:vAlign w:val="center"/>
          </w:tcPr>
          <w:p w14:paraId="5BAC6C2D" w14:textId="67B092D0"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A disclosure given by the agent to both the seller and buyer that an agent may possibly represent both the seller and buyer and be working with multiple buyers and sellers at the same time. This should be signed before a Residential Listing Agreement or a Buyer Agency Agreement is signed. (PRBS)</w:t>
            </w:r>
          </w:p>
        </w:tc>
      </w:tr>
      <w:tr w:rsidR="00A63B82" w14:paraId="1A166F3D" w14:textId="77777777" w:rsidTr="00A63B82">
        <w:tblPrEx>
          <w:shd w:val="clear" w:color="auto" w:fill="auto"/>
        </w:tblPrEx>
        <w:trPr>
          <w:gridBefore w:val="1"/>
          <w:wBefore w:w="6" w:type="dxa"/>
        </w:trPr>
        <w:tc>
          <w:tcPr>
            <w:tcW w:w="4983" w:type="dxa"/>
            <w:vAlign w:val="center"/>
          </w:tcPr>
          <w:p w14:paraId="336C0C49" w14:textId="16EFC492"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Real Estate Transfer Disclosure Statement </w:t>
            </w:r>
          </w:p>
        </w:tc>
        <w:tc>
          <w:tcPr>
            <w:tcW w:w="545" w:type="dxa"/>
            <w:vAlign w:val="center"/>
          </w:tcPr>
          <w:p w14:paraId="53200AEF" w14:textId="11100D33"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089" w:type="dxa"/>
            <w:gridSpan w:val="2"/>
            <w:vAlign w:val="center"/>
          </w:tcPr>
          <w:p w14:paraId="0F5063EF" w14:textId="0A5E9576"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 xml:space="preserve">This is a mandatory form for all transfers of residential properties 1-4 units. The form is filled out primarily by the seller disclosing details about the property to the buyer. The seller must fill out pages 1 &amp; 2 in his/her own writing and also initial pages 1 &amp; 2 and sign/date pages 2 &amp; 3. </w:t>
            </w:r>
            <w:proofErr w:type="gramStart"/>
            <w:r w:rsidRPr="00A63B82">
              <w:rPr>
                <w:rFonts w:asciiTheme="majorHAnsi" w:eastAsia="Times New Roman" w:hAnsiTheme="majorHAnsi" w:cs="Arial"/>
                <w:color w:val="000000"/>
                <w:sz w:val="20"/>
                <w:szCs w:val="20"/>
              </w:rPr>
              <w:t>This must also be signed by all parties including the seller, buyer, and agents on page 3 before escrow closes</w:t>
            </w:r>
            <w:proofErr w:type="gramEnd"/>
            <w:r w:rsidRPr="00A63B82">
              <w:rPr>
                <w:rFonts w:asciiTheme="majorHAnsi" w:eastAsia="Times New Roman" w:hAnsiTheme="majorHAnsi" w:cs="Arial"/>
                <w:color w:val="000000"/>
                <w:sz w:val="20"/>
                <w:szCs w:val="20"/>
              </w:rPr>
              <w:t xml:space="preserve">. Please note that the seller is not required to sign if the transaction is a Foreclosure REO, Probate, or Trust Sale. However, even though the seller is exempt the listing agent is still required by the broker to complete the TDS without the seller’s signature. (TDS) </w:t>
            </w:r>
          </w:p>
        </w:tc>
      </w:tr>
      <w:tr w:rsidR="00A63B82" w14:paraId="7E3D7585" w14:textId="77777777" w:rsidTr="00A63B82">
        <w:tblPrEx>
          <w:shd w:val="clear" w:color="auto" w:fill="auto"/>
        </w:tblPrEx>
        <w:trPr>
          <w:gridBefore w:val="1"/>
          <w:wBefore w:w="6" w:type="dxa"/>
        </w:trPr>
        <w:tc>
          <w:tcPr>
            <w:tcW w:w="4983" w:type="dxa"/>
            <w:vAlign w:val="center"/>
          </w:tcPr>
          <w:p w14:paraId="4BA69869" w14:textId="1D47908D"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Agent Visual Inspection Disclosure </w:t>
            </w:r>
            <w:r>
              <w:rPr>
                <w:rFonts w:asciiTheme="majorHAnsi" w:eastAsia="Times New Roman" w:hAnsiTheme="majorHAnsi" w:cs="Arial"/>
                <w:b/>
                <w:color w:val="000000"/>
              </w:rPr>
              <w:br/>
            </w:r>
            <w:r w:rsidRPr="00A63B82">
              <w:rPr>
                <w:rFonts w:asciiTheme="majorHAnsi" w:eastAsia="Times New Roman" w:hAnsiTheme="majorHAnsi" w:cs="Arial"/>
                <w:b/>
                <w:color w:val="000000"/>
              </w:rPr>
              <w:t>(Listing Agent)</w:t>
            </w:r>
          </w:p>
        </w:tc>
        <w:tc>
          <w:tcPr>
            <w:tcW w:w="545" w:type="dxa"/>
            <w:vAlign w:val="center"/>
          </w:tcPr>
          <w:p w14:paraId="5131C06C" w14:textId="2FD71C52"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089" w:type="dxa"/>
            <w:gridSpan w:val="2"/>
            <w:vAlign w:val="center"/>
          </w:tcPr>
          <w:p w14:paraId="7CAFC5A0" w14:textId="3780E5DD"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 xml:space="preserve">An Agent Visual Inspection Disclosure must be filled out by both the listing and selling agents on residential </w:t>
            </w:r>
            <w:proofErr w:type="gramStart"/>
            <w:r w:rsidRPr="00A63B82">
              <w:rPr>
                <w:rFonts w:asciiTheme="majorHAnsi" w:eastAsia="Times New Roman" w:hAnsiTheme="majorHAnsi" w:cs="Arial"/>
                <w:color w:val="000000"/>
                <w:sz w:val="20"/>
                <w:szCs w:val="20"/>
              </w:rPr>
              <w:t>transactions</w:t>
            </w:r>
            <w:proofErr w:type="gramEnd"/>
            <w:r w:rsidRPr="00A63B82">
              <w:rPr>
                <w:rFonts w:asciiTheme="majorHAnsi" w:eastAsia="Times New Roman" w:hAnsiTheme="majorHAnsi" w:cs="Arial"/>
                <w:color w:val="000000"/>
                <w:sz w:val="20"/>
                <w:szCs w:val="20"/>
              </w:rPr>
              <w:t xml:space="preserve"> as it is a broker requirement. You must list everything wrong with the property noticed through a reasonably competent, diligent agent visual inspection – everything you see, hear and/or smell. </w:t>
            </w:r>
            <w:proofErr w:type="gramStart"/>
            <w:r w:rsidRPr="00A63B82">
              <w:rPr>
                <w:rFonts w:asciiTheme="majorHAnsi" w:eastAsia="Times New Roman" w:hAnsiTheme="majorHAnsi" w:cs="Arial"/>
                <w:color w:val="000000"/>
                <w:sz w:val="20"/>
                <w:szCs w:val="20"/>
              </w:rPr>
              <w:t xml:space="preserve">Both listing and selling agent </w:t>
            </w:r>
            <w:proofErr w:type="spellStart"/>
            <w:r w:rsidRPr="00A63B82">
              <w:rPr>
                <w:rFonts w:asciiTheme="majorHAnsi" w:eastAsia="Times New Roman" w:hAnsiTheme="majorHAnsi" w:cs="Arial"/>
                <w:color w:val="000000"/>
                <w:sz w:val="20"/>
                <w:szCs w:val="20"/>
              </w:rPr>
              <w:t>Agent</w:t>
            </w:r>
            <w:proofErr w:type="spellEnd"/>
            <w:r w:rsidRPr="00A63B82">
              <w:rPr>
                <w:rFonts w:asciiTheme="majorHAnsi" w:eastAsia="Times New Roman" w:hAnsiTheme="majorHAnsi" w:cs="Arial"/>
                <w:color w:val="000000"/>
                <w:sz w:val="20"/>
                <w:szCs w:val="20"/>
              </w:rPr>
              <w:t xml:space="preserve"> Visual Inspection Disclosures must be signed by all parties including the seller, buyer, and agent before escrow closes</w:t>
            </w:r>
            <w:proofErr w:type="gramEnd"/>
            <w:r w:rsidRPr="00A63B82">
              <w:rPr>
                <w:rFonts w:asciiTheme="majorHAnsi" w:eastAsia="Times New Roman" w:hAnsiTheme="majorHAnsi" w:cs="Arial"/>
                <w:color w:val="000000"/>
                <w:sz w:val="20"/>
                <w:szCs w:val="20"/>
              </w:rPr>
              <w:t>. (AVID)</w:t>
            </w:r>
          </w:p>
        </w:tc>
      </w:tr>
      <w:tr w:rsidR="00A63B82" w14:paraId="15438128" w14:textId="77777777" w:rsidTr="00A63B82">
        <w:tblPrEx>
          <w:shd w:val="clear" w:color="auto" w:fill="auto"/>
        </w:tblPrEx>
        <w:trPr>
          <w:gridBefore w:val="1"/>
          <w:wBefore w:w="6" w:type="dxa"/>
        </w:trPr>
        <w:tc>
          <w:tcPr>
            <w:tcW w:w="4983" w:type="dxa"/>
            <w:vAlign w:val="center"/>
          </w:tcPr>
          <w:p w14:paraId="69B63F77" w14:textId="5D8128F8"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Agent Visual Inspection Disclosure </w:t>
            </w:r>
            <w:r>
              <w:rPr>
                <w:rFonts w:asciiTheme="majorHAnsi" w:eastAsia="Times New Roman" w:hAnsiTheme="majorHAnsi" w:cs="Arial"/>
                <w:b/>
                <w:color w:val="000000"/>
              </w:rPr>
              <w:br/>
            </w:r>
            <w:r w:rsidRPr="00A63B82">
              <w:rPr>
                <w:rFonts w:asciiTheme="majorHAnsi" w:eastAsia="Times New Roman" w:hAnsiTheme="majorHAnsi" w:cs="Arial"/>
                <w:b/>
                <w:color w:val="000000"/>
              </w:rPr>
              <w:t>(Selling Agent)</w:t>
            </w:r>
          </w:p>
        </w:tc>
        <w:tc>
          <w:tcPr>
            <w:tcW w:w="545" w:type="dxa"/>
            <w:vAlign w:val="center"/>
          </w:tcPr>
          <w:p w14:paraId="0FAD9CF0" w14:textId="6A663181"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089" w:type="dxa"/>
            <w:gridSpan w:val="2"/>
            <w:vAlign w:val="center"/>
          </w:tcPr>
          <w:p w14:paraId="126A5B76" w14:textId="66FF2FB7"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 xml:space="preserve">An Agent Visual Inspection Disclosure must be filled out by both the listing and selling agents on residential </w:t>
            </w:r>
            <w:proofErr w:type="gramStart"/>
            <w:r w:rsidRPr="00A63B82">
              <w:rPr>
                <w:rFonts w:asciiTheme="majorHAnsi" w:eastAsia="Times New Roman" w:hAnsiTheme="majorHAnsi" w:cs="Arial"/>
                <w:color w:val="000000"/>
                <w:sz w:val="20"/>
                <w:szCs w:val="20"/>
              </w:rPr>
              <w:t>transactions</w:t>
            </w:r>
            <w:proofErr w:type="gramEnd"/>
            <w:r w:rsidRPr="00A63B82">
              <w:rPr>
                <w:rFonts w:asciiTheme="majorHAnsi" w:eastAsia="Times New Roman" w:hAnsiTheme="majorHAnsi" w:cs="Arial"/>
                <w:color w:val="000000"/>
                <w:sz w:val="20"/>
                <w:szCs w:val="20"/>
              </w:rPr>
              <w:t xml:space="preserve"> as it is a broker requirement. You must list everything wrong with the property noticed through a reasonably competent, diligent agent visual inspection – everything you see, hear and/or smell. </w:t>
            </w:r>
            <w:proofErr w:type="gramStart"/>
            <w:r w:rsidRPr="00A63B82">
              <w:rPr>
                <w:rFonts w:asciiTheme="majorHAnsi" w:eastAsia="Times New Roman" w:hAnsiTheme="majorHAnsi" w:cs="Arial"/>
                <w:color w:val="000000"/>
                <w:sz w:val="20"/>
                <w:szCs w:val="20"/>
              </w:rPr>
              <w:t xml:space="preserve">Both listing and selling agent </w:t>
            </w:r>
            <w:proofErr w:type="spellStart"/>
            <w:r w:rsidRPr="00A63B82">
              <w:rPr>
                <w:rFonts w:asciiTheme="majorHAnsi" w:eastAsia="Times New Roman" w:hAnsiTheme="majorHAnsi" w:cs="Arial"/>
                <w:color w:val="000000"/>
                <w:sz w:val="20"/>
                <w:szCs w:val="20"/>
              </w:rPr>
              <w:t>Agent</w:t>
            </w:r>
            <w:proofErr w:type="spellEnd"/>
            <w:r w:rsidRPr="00A63B82">
              <w:rPr>
                <w:rFonts w:asciiTheme="majorHAnsi" w:eastAsia="Times New Roman" w:hAnsiTheme="majorHAnsi" w:cs="Arial"/>
                <w:color w:val="000000"/>
                <w:sz w:val="20"/>
                <w:szCs w:val="20"/>
              </w:rPr>
              <w:t xml:space="preserve"> Visual Inspection Disclosures must be signed by all parties including the seller, buyer, and agent before escrow closes</w:t>
            </w:r>
            <w:proofErr w:type="gramEnd"/>
            <w:r w:rsidRPr="00A63B82">
              <w:rPr>
                <w:rFonts w:asciiTheme="majorHAnsi" w:eastAsia="Times New Roman" w:hAnsiTheme="majorHAnsi" w:cs="Arial"/>
                <w:color w:val="000000"/>
                <w:sz w:val="20"/>
                <w:szCs w:val="20"/>
              </w:rPr>
              <w:t>. (AVID)</w:t>
            </w:r>
          </w:p>
        </w:tc>
      </w:tr>
      <w:tr w:rsidR="00A63B82" w14:paraId="2C8FC27A" w14:textId="77777777" w:rsidTr="00A63B82">
        <w:tblPrEx>
          <w:shd w:val="clear" w:color="auto" w:fill="auto"/>
        </w:tblPrEx>
        <w:trPr>
          <w:gridBefore w:val="1"/>
          <w:wBefore w:w="6" w:type="dxa"/>
        </w:trPr>
        <w:tc>
          <w:tcPr>
            <w:tcW w:w="4983" w:type="dxa"/>
            <w:vAlign w:val="center"/>
          </w:tcPr>
          <w:p w14:paraId="59BE935A" w14:textId="716CCD94"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Seller Property Questionnaire or Supplemental Statutory Disclosure</w:t>
            </w:r>
          </w:p>
        </w:tc>
        <w:tc>
          <w:tcPr>
            <w:tcW w:w="545" w:type="dxa"/>
            <w:vAlign w:val="center"/>
          </w:tcPr>
          <w:p w14:paraId="7F27C9E5" w14:textId="6D861926"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089" w:type="dxa"/>
            <w:gridSpan w:val="2"/>
            <w:vAlign w:val="center"/>
          </w:tcPr>
          <w:p w14:paraId="34794D1B" w14:textId="66D676EA"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If the transaction is a foreclosure (REO), probate or trust sale, the seller is exempt from signing the seller property questionnaire. However, the listing agent must still provide the selling agent with the SPQ form indicating exempt status and the selling agent should ensure that the buyer sign and date the form acknowledging that the form was not filled out and is seller exempt. This is a mandatory broker requirement. (SPQ)</w:t>
            </w:r>
          </w:p>
        </w:tc>
      </w:tr>
      <w:tr w:rsidR="00A63B82" w14:paraId="5FE18B7A" w14:textId="77777777" w:rsidTr="00A63B82">
        <w:tblPrEx>
          <w:shd w:val="clear" w:color="auto" w:fill="auto"/>
        </w:tblPrEx>
        <w:trPr>
          <w:gridBefore w:val="1"/>
          <w:wBefore w:w="6" w:type="dxa"/>
        </w:trPr>
        <w:tc>
          <w:tcPr>
            <w:tcW w:w="4983" w:type="dxa"/>
            <w:vAlign w:val="center"/>
          </w:tcPr>
          <w:p w14:paraId="2224889B" w14:textId="76179A74"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Statewide Buyer and Seller Advisory </w:t>
            </w:r>
          </w:p>
        </w:tc>
        <w:tc>
          <w:tcPr>
            <w:tcW w:w="545" w:type="dxa"/>
            <w:vAlign w:val="center"/>
          </w:tcPr>
          <w:p w14:paraId="6E996451" w14:textId="4C7FA73D"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089" w:type="dxa"/>
            <w:gridSpan w:val="2"/>
            <w:vAlign w:val="center"/>
          </w:tcPr>
          <w:p w14:paraId="0DAA789B" w14:textId="484D4863"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This form covers most things that could go wrong with a real estate purchase and warns buyers to hire a specialist in each and every area associated with a property purchase so as to minimize the possibility of discovering problems post-closing. For the seller the document provides advice about how to insulate them from claims that might arise post closing. (SBSA)</w:t>
            </w:r>
          </w:p>
        </w:tc>
      </w:tr>
      <w:tr w:rsidR="00A63B82" w14:paraId="11A656D8" w14:textId="77777777" w:rsidTr="00A63B82">
        <w:tblPrEx>
          <w:shd w:val="clear" w:color="auto" w:fill="auto"/>
        </w:tblPrEx>
        <w:trPr>
          <w:gridBefore w:val="1"/>
          <w:wBefore w:w="6" w:type="dxa"/>
        </w:trPr>
        <w:tc>
          <w:tcPr>
            <w:tcW w:w="4983" w:type="dxa"/>
            <w:vAlign w:val="center"/>
          </w:tcPr>
          <w:p w14:paraId="6AB0B7DC" w14:textId="028D3F5E"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Market Conditions Advisory</w:t>
            </w:r>
          </w:p>
        </w:tc>
        <w:tc>
          <w:tcPr>
            <w:tcW w:w="545" w:type="dxa"/>
            <w:vAlign w:val="center"/>
          </w:tcPr>
          <w:p w14:paraId="188A6C62" w14:textId="583FA04E"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089" w:type="dxa"/>
            <w:gridSpan w:val="2"/>
            <w:vAlign w:val="center"/>
          </w:tcPr>
          <w:p w14:paraId="116CAFF0" w14:textId="38E59B12"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The Market Conditions Advisory discusses topics such as the loan, the appraisal, and home inspection and disclosure contingencies. It also discusses the current condition of the marketplace and the fact that real estate professionals are not responsible for changes in market conditions that may impact the value of a property. (MCA)</w:t>
            </w:r>
          </w:p>
        </w:tc>
      </w:tr>
    </w:tbl>
    <w:p w14:paraId="5FA9D6C5" w14:textId="77777777" w:rsidR="00B63081" w:rsidRDefault="00B63081">
      <w:r>
        <w:br w:type="page"/>
      </w:r>
    </w:p>
    <w:tbl>
      <w:tblPr>
        <w:tblStyle w:val="TableGrid"/>
        <w:tblW w:w="0" w:type="auto"/>
        <w:tblInd w:w="-1"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4983"/>
        <w:gridCol w:w="545"/>
        <w:gridCol w:w="9089"/>
      </w:tblGrid>
      <w:tr w:rsidR="00A63B82" w14:paraId="1936B879" w14:textId="77777777" w:rsidTr="00B63081">
        <w:tc>
          <w:tcPr>
            <w:tcW w:w="4983" w:type="dxa"/>
            <w:vAlign w:val="center"/>
          </w:tcPr>
          <w:p w14:paraId="355E48FA" w14:textId="0A079348"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lastRenderedPageBreak/>
              <w:t>Consumer Information Acknowledgement</w:t>
            </w:r>
          </w:p>
        </w:tc>
        <w:tc>
          <w:tcPr>
            <w:tcW w:w="545" w:type="dxa"/>
            <w:vAlign w:val="center"/>
          </w:tcPr>
          <w:p w14:paraId="7D22749C" w14:textId="1BF5C5AD"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089" w:type="dxa"/>
            <w:vAlign w:val="center"/>
          </w:tcPr>
          <w:p w14:paraId="2DE0840D" w14:textId="6DE5A6A7"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Have the buyer sign the Consumer Information Acknowledgement form, which is generally attached or included with the Homeowners Combined Information Guide. It is a form that basically acknowledges they received the booklet. It is not a C.A.R. form. Please note that typically the provider of the Natural Hazard Zone Disclosure report will also include links to the Homeowners Combined Information Guides. Sometimes the agent forwards them and sometimes the disclosure provider forwards them.</w:t>
            </w:r>
          </w:p>
        </w:tc>
      </w:tr>
      <w:tr w:rsidR="00A63B82" w14:paraId="5B24509B" w14:textId="77777777" w:rsidTr="00B63081">
        <w:tc>
          <w:tcPr>
            <w:tcW w:w="4983" w:type="dxa"/>
            <w:vAlign w:val="center"/>
          </w:tcPr>
          <w:p w14:paraId="40DAB0CD" w14:textId="36B7CC75"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Carbon Monoxide Detector Notice</w:t>
            </w:r>
          </w:p>
        </w:tc>
        <w:tc>
          <w:tcPr>
            <w:tcW w:w="545" w:type="dxa"/>
            <w:vAlign w:val="center"/>
          </w:tcPr>
          <w:p w14:paraId="20BD7EF1" w14:textId="3EAD428F"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089" w:type="dxa"/>
            <w:vAlign w:val="center"/>
          </w:tcPr>
          <w:p w14:paraId="20BBAE8E" w14:textId="10AF8766"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This disclosure is signed by both the seller and discusses the installation and laws of carbon monoxide detector installation and maintenance. (CMD)</w:t>
            </w:r>
          </w:p>
        </w:tc>
      </w:tr>
      <w:tr w:rsidR="00A63B82" w14:paraId="291FFB1C" w14:textId="77777777" w:rsidTr="00B63081">
        <w:tc>
          <w:tcPr>
            <w:tcW w:w="4983" w:type="dxa"/>
            <w:vAlign w:val="center"/>
          </w:tcPr>
          <w:p w14:paraId="1B352E0A" w14:textId="442B6983"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Lead-Based Paint and Lead-Based Paint Hazards Disclosure </w:t>
            </w:r>
          </w:p>
        </w:tc>
        <w:tc>
          <w:tcPr>
            <w:tcW w:w="545" w:type="dxa"/>
            <w:vAlign w:val="center"/>
          </w:tcPr>
          <w:p w14:paraId="62340667" w14:textId="17DF3115"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089" w:type="dxa"/>
            <w:vAlign w:val="center"/>
          </w:tcPr>
          <w:p w14:paraId="00E69648" w14:textId="38EA19F7" w:rsidR="00A63B82" w:rsidRPr="00A63B82" w:rsidRDefault="00A63B82" w:rsidP="00A63B82">
            <w:pPr>
              <w:rPr>
                <w:rFonts w:asciiTheme="majorHAnsi" w:hAnsiTheme="majorHAnsi"/>
                <w:sz w:val="20"/>
                <w:szCs w:val="20"/>
              </w:rPr>
            </w:pPr>
            <w:proofErr w:type="gramStart"/>
            <w:r w:rsidRPr="00A63B82">
              <w:rPr>
                <w:rFonts w:asciiTheme="majorHAnsi" w:eastAsia="Times New Roman" w:hAnsiTheme="majorHAnsi" w:cs="Arial"/>
                <w:color w:val="000000"/>
                <w:sz w:val="20"/>
                <w:szCs w:val="20"/>
              </w:rPr>
              <w:t>The Residential Lead-Based Paint Hazard Reduction Act of 1992 was passed by Congress, also known as Title X, to protect families from exposure to lead from paint, dust, and soil</w:t>
            </w:r>
            <w:proofErr w:type="gramEnd"/>
            <w:r w:rsidRPr="00A63B82">
              <w:rPr>
                <w:rFonts w:asciiTheme="majorHAnsi" w:eastAsia="Times New Roman" w:hAnsiTheme="majorHAnsi" w:cs="Arial"/>
                <w:color w:val="000000"/>
                <w:sz w:val="20"/>
                <w:szCs w:val="20"/>
              </w:rPr>
              <w:t>. Section 1018 of this law directed HUD and EPA to require the disclosure of known information on lead-based paint and lead-based paint hazards before the sale or lease of most housing built before 1978. If the house was built before 1978 this form must be completed. (FLD)</w:t>
            </w:r>
          </w:p>
        </w:tc>
      </w:tr>
      <w:tr w:rsidR="00A63B82" w14:paraId="77C016A7" w14:textId="77777777" w:rsidTr="00B63081">
        <w:tc>
          <w:tcPr>
            <w:tcW w:w="4983" w:type="dxa"/>
            <w:vAlign w:val="center"/>
          </w:tcPr>
          <w:p w14:paraId="4AF1286E" w14:textId="507BAB98"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Water Heater and Smoke Detector Statement of Compliance</w:t>
            </w:r>
          </w:p>
        </w:tc>
        <w:tc>
          <w:tcPr>
            <w:tcW w:w="545" w:type="dxa"/>
            <w:vAlign w:val="center"/>
          </w:tcPr>
          <w:p w14:paraId="20A8DF57" w14:textId="686AB0E4"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089" w:type="dxa"/>
            <w:vAlign w:val="center"/>
          </w:tcPr>
          <w:p w14:paraId="098CC076" w14:textId="07F2DE45"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 xml:space="preserve">A Water Heater and Smoke Detector Statement of Compliance is mandatory if the transaction is a Foreclosure REO, Probate, or Trust Sale and the seller is exempt from signing the Real Estate Transfer Disclosure Statement. This form outlines the rules </w:t>
            </w:r>
            <w:proofErr w:type="gramStart"/>
            <w:r w:rsidRPr="00A63B82">
              <w:rPr>
                <w:rFonts w:asciiTheme="majorHAnsi" w:eastAsia="Times New Roman" w:hAnsiTheme="majorHAnsi" w:cs="Arial"/>
                <w:color w:val="000000"/>
                <w:sz w:val="20"/>
                <w:szCs w:val="20"/>
              </w:rPr>
              <w:t>an</w:t>
            </w:r>
            <w:proofErr w:type="gramEnd"/>
            <w:r w:rsidRPr="00A63B82">
              <w:rPr>
                <w:rFonts w:asciiTheme="majorHAnsi" w:eastAsia="Times New Roman" w:hAnsiTheme="majorHAnsi" w:cs="Arial"/>
                <w:color w:val="000000"/>
                <w:sz w:val="20"/>
                <w:szCs w:val="20"/>
              </w:rPr>
              <w:t xml:space="preserve"> regulations of water heaters safety measures including how they should be braced and anchored. The form also discusses smoke detector statements of compliance. (WHSD)</w:t>
            </w:r>
          </w:p>
        </w:tc>
      </w:tr>
      <w:tr w:rsidR="00A63B82" w14:paraId="3B8B56C3" w14:textId="77777777" w:rsidTr="00B63081">
        <w:tc>
          <w:tcPr>
            <w:tcW w:w="4983" w:type="dxa"/>
            <w:vAlign w:val="center"/>
          </w:tcPr>
          <w:p w14:paraId="1F31EFD1" w14:textId="3372BA5D"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Megan's Law Data Base Disclosure</w:t>
            </w:r>
          </w:p>
        </w:tc>
        <w:tc>
          <w:tcPr>
            <w:tcW w:w="545" w:type="dxa"/>
            <w:vAlign w:val="center"/>
          </w:tcPr>
          <w:p w14:paraId="59C9F52C" w14:textId="601118DB"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089" w:type="dxa"/>
            <w:vAlign w:val="center"/>
          </w:tcPr>
          <w:p w14:paraId="33CF876E" w14:textId="4895F509"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Every sales contract, lease, or rental agreement is required to include a statutorily defined notice regarding the existence of public access to database information regarding sex offenders. This disclosure is signed by both the seller and buyer or tenant and landlord acknowledging that registered sex offenders is public information available on the Megan’s Law website. (DBD)</w:t>
            </w:r>
          </w:p>
        </w:tc>
      </w:tr>
      <w:tr w:rsidR="00A63B82" w14:paraId="61FF5335" w14:textId="77777777" w:rsidTr="00B63081">
        <w:tc>
          <w:tcPr>
            <w:tcW w:w="4983" w:type="dxa"/>
            <w:vAlign w:val="center"/>
          </w:tcPr>
          <w:p w14:paraId="33B3500E" w14:textId="53645AF3"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Qualified Substitute Declaration of Possession of Transferors Affidavit of Non Foreign Status</w:t>
            </w:r>
          </w:p>
        </w:tc>
        <w:tc>
          <w:tcPr>
            <w:tcW w:w="545" w:type="dxa"/>
            <w:vAlign w:val="center"/>
          </w:tcPr>
          <w:p w14:paraId="0112E808" w14:textId="0AF37755"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089" w:type="dxa"/>
            <w:vAlign w:val="center"/>
          </w:tcPr>
          <w:p w14:paraId="4D5C1E32" w14:textId="090EB324"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The qualified substitute may be an escrow company, title company, or attorney responsible for closing the subject transaction or the transferee’s broker (buyer’s broker). Usually it is an escrow company. The main reason the qualified substitute was created was because many sellers did not like the idea that by providing #2 above, the buyers would have the seller’s tax IDs or social security numbers. (QS)</w:t>
            </w:r>
          </w:p>
        </w:tc>
      </w:tr>
      <w:tr w:rsidR="00A63B82" w14:paraId="78B258F6" w14:textId="77777777" w:rsidTr="00B63081">
        <w:tc>
          <w:tcPr>
            <w:tcW w:w="4983" w:type="dxa"/>
            <w:vAlign w:val="center"/>
          </w:tcPr>
          <w:p w14:paraId="1B2804E7" w14:textId="4C01FBF6"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SD Water Conservation (San Diego City Only) OR Transfer or Responsibility</w:t>
            </w:r>
          </w:p>
        </w:tc>
        <w:tc>
          <w:tcPr>
            <w:tcW w:w="545" w:type="dxa"/>
            <w:vAlign w:val="center"/>
          </w:tcPr>
          <w:p w14:paraId="6950D3ED" w14:textId="3935AF54"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089" w:type="dxa"/>
            <w:vAlign w:val="center"/>
          </w:tcPr>
          <w:p w14:paraId="5CDF2C46" w14:textId="13FB2181"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 xml:space="preserve">This is a San Diego city specific form when you buy and sell properties in the city of San Diego. This does not need to be filled out for any properties outside the city of San Diego. You will find that many areas have city or county specific forms that may need to be filled out. </w:t>
            </w:r>
          </w:p>
        </w:tc>
      </w:tr>
      <w:tr w:rsidR="00A63B82" w14:paraId="6455ECD3" w14:textId="77777777" w:rsidTr="00B63081">
        <w:tc>
          <w:tcPr>
            <w:tcW w:w="4983" w:type="dxa"/>
            <w:vAlign w:val="center"/>
          </w:tcPr>
          <w:p w14:paraId="4D6A0477" w14:textId="22F0FEC7"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Other__________________________</w:t>
            </w:r>
          </w:p>
        </w:tc>
        <w:tc>
          <w:tcPr>
            <w:tcW w:w="545" w:type="dxa"/>
            <w:vAlign w:val="center"/>
          </w:tcPr>
          <w:p w14:paraId="773A3460" w14:textId="5B93ECE0"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089" w:type="dxa"/>
            <w:vAlign w:val="center"/>
          </w:tcPr>
          <w:p w14:paraId="0EF83D57" w14:textId="244118E6"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The seller must receive the Agency Disclosure form before a Residential Listing Agreement is signed. The purpose of the disclosure is to make sure that every person who hires a real estate agent is given the opportunity to learn how agency works. This is a mandatory form. (AD)</w:t>
            </w:r>
          </w:p>
        </w:tc>
      </w:tr>
      <w:tr w:rsidR="00A63B82" w14:paraId="5C752101" w14:textId="77777777" w:rsidTr="00B63081">
        <w:tc>
          <w:tcPr>
            <w:tcW w:w="4983" w:type="dxa"/>
            <w:vAlign w:val="center"/>
          </w:tcPr>
          <w:p w14:paraId="689312B2" w14:textId="2776C676"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Other__________________________</w:t>
            </w:r>
          </w:p>
        </w:tc>
        <w:tc>
          <w:tcPr>
            <w:tcW w:w="545" w:type="dxa"/>
            <w:vAlign w:val="center"/>
          </w:tcPr>
          <w:p w14:paraId="6D411FC9" w14:textId="54F33287"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089" w:type="dxa"/>
            <w:vAlign w:val="center"/>
          </w:tcPr>
          <w:p w14:paraId="766D5C26" w14:textId="7064EA85"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A disclosure given by the agent to both the seller and buyer that an agent may possibly represent both the seller and buyer and be working with multiple buyers and sellers at the same time. This should be signed before a Residential Listing Agreement or a Buyer Agency Agreement is signed. (PRBS)</w:t>
            </w:r>
          </w:p>
        </w:tc>
      </w:tr>
    </w:tbl>
    <w:p w14:paraId="7239D39A" w14:textId="77777777" w:rsidR="00985EFE" w:rsidRDefault="00985EFE" w:rsidP="00A63B82">
      <w:pPr>
        <w:rPr>
          <w:rFonts w:asciiTheme="majorHAnsi" w:hAnsiTheme="majorHAnsi"/>
          <w:b/>
          <w:sz w:val="20"/>
          <w:szCs w:val="20"/>
        </w:rPr>
      </w:pPr>
    </w:p>
    <w:p w14:paraId="3ADBE5B6" w14:textId="77777777" w:rsidR="00A63B82" w:rsidRPr="00A63B82" w:rsidRDefault="00A63B82" w:rsidP="00A63B82">
      <w:pPr>
        <w:rPr>
          <w:rFonts w:asciiTheme="majorHAnsi" w:eastAsia="Times New Roman" w:hAnsiTheme="majorHAnsi" w:cs="Times New Roman"/>
          <w:sz w:val="20"/>
          <w:szCs w:val="20"/>
        </w:rPr>
      </w:pPr>
      <w:r w:rsidRPr="00A63B82">
        <w:rPr>
          <w:rFonts w:asciiTheme="majorHAnsi" w:hAnsiTheme="majorHAnsi"/>
          <w:b/>
          <w:sz w:val="20"/>
          <w:szCs w:val="20"/>
        </w:rPr>
        <w:t>Note:</w:t>
      </w:r>
      <w:r w:rsidRPr="00A63B82">
        <w:rPr>
          <w:rFonts w:asciiTheme="majorHAnsi" w:hAnsiTheme="majorHAnsi"/>
          <w:sz w:val="20"/>
          <w:szCs w:val="20"/>
        </w:rPr>
        <w:t xml:space="preserve"> </w:t>
      </w:r>
      <w:r w:rsidRPr="00A63B82">
        <w:rPr>
          <w:rFonts w:asciiTheme="majorHAnsi" w:eastAsia="Times New Roman" w:hAnsiTheme="majorHAnsi" w:cs="Arial"/>
          <w:color w:val="000000"/>
          <w:sz w:val="20"/>
          <w:szCs w:val="20"/>
        </w:rPr>
        <w:t>You will want to modify this list depending on the transaction type and state you are closing in. Not all documents are required for every closing.</w:t>
      </w:r>
    </w:p>
    <w:p w14:paraId="2108480B" w14:textId="77777777" w:rsidR="00A63B82" w:rsidRDefault="00A63B82" w:rsidP="00A63B82">
      <w:pPr>
        <w:rPr>
          <w:rFonts w:asciiTheme="majorHAnsi" w:hAnsiTheme="majorHAnsi"/>
          <w:sz w:val="20"/>
          <w:szCs w:val="20"/>
        </w:rPr>
      </w:pPr>
      <w:r w:rsidRPr="00A63B82">
        <w:rPr>
          <w:rFonts w:asciiTheme="majorHAnsi" w:hAnsiTheme="majorHAnsi"/>
          <w:b/>
          <w:sz w:val="20"/>
          <w:szCs w:val="20"/>
        </w:rPr>
        <w:t>M</w:t>
      </w:r>
      <w:r w:rsidRPr="00A63B82">
        <w:rPr>
          <w:rFonts w:asciiTheme="majorHAnsi" w:hAnsiTheme="majorHAnsi"/>
          <w:sz w:val="20"/>
          <w:szCs w:val="20"/>
        </w:rPr>
        <w:t xml:space="preserve"> = Mandatory | </w:t>
      </w:r>
      <w:r w:rsidRPr="00A63B82">
        <w:rPr>
          <w:rFonts w:asciiTheme="majorHAnsi" w:hAnsiTheme="majorHAnsi"/>
          <w:b/>
          <w:sz w:val="20"/>
          <w:szCs w:val="20"/>
        </w:rPr>
        <w:t>IA</w:t>
      </w:r>
      <w:r w:rsidRPr="00A63B82">
        <w:rPr>
          <w:rFonts w:asciiTheme="majorHAnsi" w:hAnsiTheme="majorHAnsi"/>
          <w:sz w:val="20"/>
          <w:szCs w:val="20"/>
        </w:rPr>
        <w:t xml:space="preserve"> = If Applicable</w:t>
      </w:r>
    </w:p>
    <w:p w14:paraId="5A4937FE" w14:textId="77777777" w:rsidR="00A63B82" w:rsidRDefault="00A63B82">
      <w:pPr>
        <w:rPr>
          <w:rFonts w:asciiTheme="majorHAnsi" w:hAnsiTheme="majorHAnsi"/>
          <w:sz w:val="20"/>
          <w:szCs w:val="20"/>
        </w:rPr>
      </w:pPr>
    </w:p>
    <w:p w14:paraId="45F5F8E5" w14:textId="77777777" w:rsidR="00A63B82" w:rsidRDefault="00A63B82">
      <w:pPr>
        <w:rPr>
          <w:rFonts w:asciiTheme="majorHAnsi" w:hAnsiTheme="majorHAnsi"/>
          <w:sz w:val="20"/>
          <w:szCs w:val="20"/>
        </w:rPr>
      </w:pPr>
    </w:p>
    <w:tbl>
      <w:tblPr>
        <w:tblStyle w:val="TableGrid"/>
        <w:tblW w:w="0" w:type="auto"/>
        <w:tblInd w:w="-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00CCFF"/>
        <w:tblLook w:val="04A0" w:firstRow="1" w:lastRow="0" w:firstColumn="1" w:lastColumn="0" w:noHBand="0" w:noVBand="1"/>
      </w:tblPr>
      <w:tblGrid>
        <w:gridCol w:w="6"/>
        <w:gridCol w:w="4983"/>
        <w:gridCol w:w="545"/>
        <w:gridCol w:w="9082"/>
        <w:gridCol w:w="7"/>
      </w:tblGrid>
      <w:tr w:rsidR="00A63B82" w14:paraId="502265D5" w14:textId="77777777" w:rsidTr="00A63B82">
        <w:trPr>
          <w:gridAfter w:val="1"/>
          <w:wAfter w:w="7" w:type="dxa"/>
        </w:trPr>
        <w:tc>
          <w:tcPr>
            <w:tcW w:w="14616" w:type="dxa"/>
            <w:gridSpan w:val="4"/>
            <w:shd w:val="clear" w:color="auto" w:fill="164FB1"/>
          </w:tcPr>
          <w:p w14:paraId="56A69802" w14:textId="7E0EA800" w:rsidR="00A63B82" w:rsidRPr="00FE6F50" w:rsidRDefault="00A63B82" w:rsidP="00A63B82">
            <w:pPr>
              <w:rPr>
                <w:rFonts w:asciiTheme="majorHAnsi" w:hAnsiTheme="majorHAnsi"/>
                <w:b/>
                <w:color w:val="FFFFFF" w:themeColor="background1"/>
                <w:sz w:val="32"/>
                <w:szCs w:val="32"/>
              </w:rPr>
            </w:pPr>
            <w:r>
              <w:rPr>
                <w:rFonts w:asciiTheme="majorHAnsi" w:hAnsiTheme="majorHAnsi"/>
                <w:b/>
                <w:bCs/>
                <w:color w:val="FFFFFF" w:themeColor="background1"/>
                <w:sz w:val="32"/>
                <w:szCs w:val="32"/>
              </w:rPr>
              <w:lastRenderedPageBreak/>
              <w:t>DISCLOSURES &amp; REPORTS COORDINATED WITH ESCROW</w:t>
            </w:r>
          </w:p>
        </w:tc>
      </w:tr>
      <w:tr w:rsidR="00A63B82" w14:paraId="3199BA28" w14:textId="77777777" w:rsidTr="00A63B82">
        <w:tblPrEx>
          <w:shd w:val="clear" w:color="auto" w:fill="auto"/>
        </w:tblPrEx>
        <w:trPr>
          <w:gridBefore w:val="1"/>
          <w:wBefore w:w="6" w:type="dxa"/>
        </w:trPr>
        <w:tc>
          <w:tcPr>
            <w:tcW w:w="4983" w:type="dxa"/>
            <w:vAlign w:val="center"/>
          </w:tcPr>
          <w:p w14:paraId="4B925FA1" w14:textId="09DF6B68"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Natural Hazard Zone Disclosure Report </w:t>
            </w:r>
            <w:r w:rsidR="00B63081">
              <w:rPr>
                <w:rFonts w:asciiTheme="majorHAnsi" w:eastAsia="Times New Roman" w:hAnsiTheme="majorHAnsi" w:cs="Arial"/>
                <w:b/>
                <w:color w:val="000000"/>
              </w:rPr>
              <w:br/>
            </w:r>
            <w:r w:rsidRPr="00A63B82">
              <w:rPr>
                <w:rFonts w:asciiTheme="majorHAnsi" w:eastAsia="Times New Roman" w:hAnsiTheme="majorHAnsi" w:cs="Arial"/>
                <w:b/>
                <w:color w:val="000000"/>
              </w:rPr>
              <w:t>with CLUE (Order from Escrow)</w:t>
            </w:r>
          </w:p>
        </w:tc>
        <w:tc>
          <w:tcPr>
            <w:tcW w:w="545" w:type="dxa"/>
            <w:vAlign w:val="center"/>
          </w:tcPr>
          <w:p w14:paraId="496B7D1A" w14:textId="0DF06802"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089" w:type="dxa"/>
            <w:gridSpan w:val="2"/>
            <w:vAlign w:val="center"/>
          </w:tcPr>
          <w:p w14:paraId="3BAB3193" w14:textId="5BCDB4CA"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Ask escrow to order the mandatory The Natural Hazard Zone Disclosure Report. This report provides parcel-specific disclosures of official hazard zones that may affect the future use of the property. The report also discloses any statutory natural hazard zones, property taxes and assessments, environmental contamination sites in the vicinity, and insurance claims history. The insurance claims history report is referred to as CLUE. The seller typically pays for the Natural Hazard Disclosure Report and the agent often orders the report on behalf of the seller when escrow is opened. Service providers for the NHZD report are Disclosure Source, First American Title, Property ID, etc. (NHZD)</w:t>
            </w:r>
          </w:p>
        </w:tc>
      </w:tr>
      <w:tr w:rsidR="00A63B82" w14:paraId="488C450F" w14:textId="77777777" w:rsidTr="00A63B82">
        <w:tblPrEx>
          <w:shd w:val="clear" w:color="auto" w:fill="auto"/>
        </w:tblPrEx>
        <w:trPr>
          <w:gridBefore w:val="1"/>
          <w:wBefore w:w="6" w:type="dxa"/>
        </w:trPr>
        <w:tc>
          <w:tcPr>
            <w:tcW w:w="4983" w:type="dxa"/>
            <w:vAlign w:val="center"/>
          </w:tcPr>
          <w:p w14:paraId="71875DA1" w14:textId="2F2D88C0"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Natural Hazard Disclosure Statement</w:t>
            </w:r>
          </w:p>
        </w:tc>
        <w:tc>
          <w:tcPr>
            <w:tcW w:w="545" w:type="dxa"/>
            <w:vAlign w:val="center"/>
          </w:tcPr>
          <w:p w14:paraId="711FE62B" w14:textId="5AD2DC0F"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089" w:type="dxa"/>
            <w:gridSpan w:val="2"/>
            <w:vAlign w:val="center"/>
          </w:tcPr>
          <w:p w14:paraId="6FCDE30C" w14:textId="7D9D9A5F"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The seller and listing agent must sign the statutory form or a substantially equivalent form to be provided to the buyer if the property being sold is in a special flood hazard area, area of potential flooding, very high fire severity zone, earthquake fault zone, seismic hazard zone, or state responsibility area. If the transaction is a Foreclosure REO, Probate or Trust Sale the seller is exempt from signing the NHD statement. The Natural Hazard Disclosure Statement is often in the NHZD report. (NHD)</w:t>
            </w:r>
          </w:p>
        </w:tc>
      </w:tr>
      <w:tr w:rsidR="00A63B82" w14:paraId="0BE38AD9" w14:textId="77777777" w:rsidTr="00A63B82">
        <w:tblPrEx>
          <w:shd w:val="clear" w:color="auto" w:fill="auto"/>
        </w:tblPrEx>
        <w:trPr>
          <w:gridBefore w:val="1"/>
          <w:wBefore w:w="6" w:type="dxa"/>
        </w:trPr>
        <w:tc>
          <w:tcPr>
            <w:tcW w:w="4983" w:type="dxa"/>
            <w:vAlign w:val="center"/>
          </w:tcPr>
          <w:p w14:paraId="48423A79" w14:textId="00E3F96F"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Homeowner's Combined Information Guides</w:t>
            </w:r>
          </w:p>
        </w:tc>
        <w:tc>
          <w:tcPr>
            <w:tcW w:w="545" w:type="dxa"/>
            <w:vAlign w:val="center"/>
          </w:tcPr>
          <w:p w14:paraId="2FCA0E9F" w14:textId="6651024A"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089" w:type="dxa"/>
            <w:gridSpan w:val="2"/>
            <w:vAlign w:val="center"/>
          </w:tcPr>
          <w:p w14:paraId="759FBB5B" w14:textId="5DC354C7"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 xml:space="preserve">The provider of the Natural Hazard Zone Disclosure Report will usually include links to the Homeowners Combined Information </w:t>
            </w:r>
            <w:r w:rsidR="00B63081" w:rsidRPr="00A63B82">
              <w:rPr>
                <w:rFonts w:asciiTheme="majorHAnsi" w:eastAsia="Times New Roman" w:hAnsiTheme="majorHAnsi" w:cs="Arial"/>
                <w:color w:val="000000"/>
                <w:sz w:val="20"/>
                <w:szCs w:val="20"/>
              </w:rPr>
              <w:t>Guide, which</w:t>
            </w:r>
            <w:r w:rsidRPr="00A63B82">
              <w:rPr>
                <w:rFonts w:asciiTheme="majorHAnsi" w:eastAsia="Times New Roman" w:hAnsiTheme="majorHAnsi" w:cs="Arial"/>
                <w:color w:val="000000"/>
                <w:sz w:val="20"/>
                <w:szCs w:val="20"/>
              </w:rPr>
              <w:t xml:space="preserve"> has information about residential environmental hazards, lead-based paint, earthquake safety, and home energy ratings.</w:t>
            </w:r>
          </w:p>
        </w:tc>
      </w:tr>
      <w:tr w:rsidR="00A63B82" w14:paraId="06A462F2" w14:textId="77777777" w:rsidTr="00A63B82">
        <w:tblPrEx>
          <w:shd w:val="clear" w:color="auto" w:fill="auto"/>
        </w:tblPrEx>
        <w:trPr>
          <w:gridBefore w:val="1"/>
          <w:wBefore w:w="6" w:type="dxa"/>
        </w:trPr>
        <w:tc>
          <w:tcPr>
            <w:tcW w:w="4983" w:type="dxa"/>
            <w:vAlign w:val="center"/>
          </w:tcPr>
          <w:p w14:paraId="335252D1" w14:textId="44E4B5F8"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Homeowners Guide to Earthquake Safety</w:t>
            </w:r>
          </w:p>
        </w:tc>
        <w:tc>
          <w:tcPr>
            <w:tcW w:w="545" w:type="dxa"/>
            <w:vAlign w:val="center"/>
          </w:tcPr>
          <w:p w14:paraId="783FE74D" w14:textId="4CD1BEBA"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089" w:type="dxa"/>
            <w:gridSpan w:val="2"/>
            <w:vAlign w:val="center"/>
          </w:tcPr>
          <w:p w14:paraId="46996AD6" w14:textId="5FE679EA"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A booklet designed to assist sellers in filling out the Residential Earthquake Hazards report when you sell a home.</w:t>
            </w:r>
          </w:p>
        </w:tc>
      </w:tr>
      <w:tr w:rsidR="00A63B82" w14:paraId="31FF21DD" w14:textId="77777777" w:rsidTr="00A63B82">
        <w:tblPrEx>
          <w:shd w:val="clear" w:color="auto" w:fill="auto"/>
        </w:tblPrEx>
        <w:trPr>
          <w:gridBefore w:val="1"/>
          <w:wBefore w:w="6" w:type="dxa"/>
        </w:trPr>
        <w:tc>
          <w:tcPr>
            <w:tcW w:w="4983" w:type="dxa"/>
            <w:vAlign w:val="center"/>
          </w:tcPr>
          <w:p w14:paraId="7C9421E3" w14:textId="1525D01A"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 xml:space="preserve">Residential Earthquake Hazard Report </w:t>
            </w:r>
          </w:p>
        </w:tc>
        <w:tc>
          <w:tcPr>
            <w:tcW w:w="545" w:type="dxa"/>
            <w:vAlign w:val="center"/>
          </w:tcPr>
          <w:p w14:paraId="59E500FE" w14:textId="258ECA5A"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089" w:type="dxa"/>
            <w:gridSpan w:val="2"/>
            <w:vAlign w:val="center"/>
          </w:tcPr>
          <w:p w14:paraId="4163F01B" w14:textId="27E0023E"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When you sell a home built before 1960 sellers are required to fill out the Residential Earthquake Hazards Report which is a disclosure report the seller fills out answering questions about their knowledge of what earthquake safety measures have been taken with the construction of the home and where the home is located. This form is not a CAR form so it will be found in the Homeowners Combined Info Guides Booklet. This form is only required for homes built before 1960.</w:t>
            </w:r>
          </w:p>
        </w:tc>
      </w:tr>
      <w:tr w:rsidR="00A63B82" w14:paraId="6373E65E" w14:textId="77777777" w:rsidTr="00A63B82">
        <w:tblPrEx>
          <w:shd w:val="clear" w:color="auto" w:fill="auto"/>
        </w:tblPrEx>
        <w:trPr>
          <w:gridBefore w:val="1"/>
          <w:wBefore w:w="6" w:type="dxa"/>
        </w:trPr>
        <w:tc>
          <w:tcPr>
            <w:tcW w:w="4983" w:type="dxa"/>
            <w:vAlign w:val="center"/>
          </w:tcPr>
          <w:p w14:paraId="23C2DDE6" w14:textId="66AD2EB0"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Receipt for Reports</w:t>
            </w:r>
          </w:p>
        </w:tc>
        <w:tc>
          <w:tcPr>
            <w:tcW w:w="545" w:type="dxa"/>
            <w:vAlign w:val="center"/>
          </w:tcPr>
          <w:p w14:paraId="05C78664" w14:textId="71F59DEF"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089" w:type="dxa"/>
            <w:gridSpan w:val="2"/>
            <w:vAlign w:val="center"/>
          </w:tcPr>
          <w:p w14:paraId="527B68E4" w14:textId="57C2BE24"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This form you send to a buyer to have them acknowledge that they received written reports, documents, inspection reports or disclosures. For example it lists wood destroying pest inspection, domestic well test, septic/private sewage inspection, home inspection report, title preliminary report, etc. When you are wholesaling it is important to pass on reports, disclosures, and documents the seller provided to you. (RFR)</w:t>
            </w:r>
          </w:p>
        </w:tc>
      </w:tr>
      <w:tr w:rsidR="00A63B82" w14:paraId="06B493C0" w14:textId="77777777" w:rsidTr="00A63B82">
        <w:tblPrEx>
          <w:shd w:val="clear" w:color="auto" w:fill="auto"/>
        </w:tblPrEx>
        <w:trPr>
          <w:gridBefore w:val="1"/>
          <w:wBefore w:w="6" w:type="dxa"/>
        </w:trPr>
        <w:tc>
          <w:tcPr>
            <w:tcW w:w="4983" w:type="dxa"/>
            <w:vAlign w:val="center"/>
          </w:tcPr>
          <w:p w14:paraId="650ECEEA" w14:textId="1CE50D73"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Verification of Property Condition</w:t>
            </w:r>
          </w:p>
        </w:tc>
        <w:tc>
          <w:tcPr>
            <w:tcW w:w="545" w:type="dxa"/>
            <w:vAlign w:val="center"/>
          </w:tcPr>
          <w:p w14:paraId="0424D5C1" w14:textId="76B8BF59"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M</w:t>
            </w:r>
          </w:p>
        </w:tc>
        <w:tc>
          <w:tcPr>
            <w:tcW w:w="9089" w:type="dxa"/>
            <w:gridSpan w:val="2"/>
            <w:vAlign w:val="center"/>
          </w:tcPr>
          <w:p w14:paraId="1429126D" w14:textId="04FE38AC" w:rsidR="00A63B82" w:rsidRPr="00A63B82" w:rsidRDefault="00A63B82" w:rsidP="00B63081">
            <w:pPr>
              <w:rPr>
                <w:rFonts w:asciiTheme="majorHAnsi" w:hAnsiTheme="majorHAnsi"/>
                <w:sz w:val="20"/>
                <w:szCs w:val="20"/>
              </w:rPr>
            </w:pPr>
            <w:r w:rsidRPr="00A63B82">
              <w:rPr>
                <w:rFonts w:asciiTheme="majorHAnsi" w:eastAsia="Times New Roman" w:hAnsiTheme="majorHAnsi" w:cs="Arial"/>
                <w:color w:val="000000"/>
                <w:sz w:val="20"/>
                <w:szCs w:val="20"/>
              </w:rPr>
              <w:t>The buyer fills out this form when they walk through the property 1 to 3 days before closing that the property is in substantially the same condition as on the date of acceptance of the purchase/sell agreement. It also acknowledges that the seller completed a</w:t>
            </w:r>
            <w:r w:rsidR="00B63081">
              <w:rPr>
                <w:rFonts w:asciiTheme="majorHAnsi" w:eastAsia="Times New Roman" w:hAnsiTheme="majorHAnsi" w:cs="Arial"/>
                <w:color w:val="000000"/>
                <w:sz w:val="20"/>
                <w:szCs w:val="20"/>
              </w:rPr>
              <w:t>ll</w:t>
            </w:r>
            <w:r w:rsidRPr="00A63B82">
              <w:rPr>
                <w:rFonts w:asciiTheme="majorHAnsi" w:eastAsia="Times New Roman" w:hAnsiTheme="majorHAnsi" w:cs="Arial"/>
                <w:color w:val="000000"/>
                <w:sz w:val="20"/>
                <w:szCs w:val="20"/>
              </w:rPr>
              <w:t xml:space="preserve"> repairs agreed upon between the buyer and seller. (VP)</w:t>
            </w:r>
          </w:p>
        </w:tc>
      </w:tr>
      <w:tr w:rsidR="00A63B82" w14:paraId="30749888" w14:textId="77777777" w:rsidTr="00A63B82">
        <w:tblPrEx>
          <w:shd w:val="clear" w:color="auto" w:fill="auto"/>
        </w:tblPrEx>
        <w:trPr>
          <w:gridBefore w:val="1"/>
          <w:wBefore w:w="6" w:type="dxa"/>
        </w:trPr>
        <w:tc>
          <w:tcPr>
            <w:tcW w:w="4983" w:type="dxa"/>
            <w:vAlign w:val="center"/>
          </w:tcPr>
          <w:p w14:paraId="5894F069" w14:textId="1A41C3C1"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Local Area Disclosure Report</w:t>
            </w:r>
          </w:p>
        </w:tc>
        <w:tc>
          <w:tcPr>
            <w:tcW w:w="545" w:type="dxa"/>
            <w:vAlign w:val="center"/>
          </w:tcPr>
          <w:p w14:paraId="64D7C6CE" w14:textId="2891BE55"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089" w:type="dxa"/>
            <w:gridSpan w:val="2"/>
            <w:vAlign w:val="center"/>
          </w:tcPr>
          <w:p w14:paraId="44F2C4CC" w14:textId="67E872C5"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 xml:space="preserve">This booklet provides </w:t>
            </w:r>
            <w:r w:rsidR="00B63081" w:rsidRPr="00A63B82">
              <w:rPr>
                <w:rFonts w:asciiTheme="majorHAnsi" w:eastAsia="Times New Roman" w:hAnsiTheme="majorHAnsi" w:cs="Arial"/>
                <w:color w:val="000000"/>
                <w:sz w:val="20"/>
                <w:szCs w:val="20"/>
              </w:rPr>
              <w:t>information, which</w:t>
            </w:r>
            <w:r w:rsidRPr="00A63B82">
              <w:rPr>
                <w:rFonts w:asciiTheme="majorHAnsi" w:eastAsia="Times New Roman" w:hAnsiTheme="majorHAnsi" w:cs="Arial"/>
                <w:color w:val="000000"/>
                <w:sz w:val="20"/>
                <w:szCs w:val="20"/>
              </w:rPr>
              <w:t xml:space="preserve"> may impact the </w:t>
            </w:r>
            <w:r w:rsidR="00B63081" w:rsidRPr="00A63B82">
              <w:rPr>
                <w:rFonts w:asciiTheme="majorHAnsi" w:eastAsia="Times New Roman" w:hAnsiTheme="majorHAnsi" w:cs="Arial"/>
                <w:color w:val="000000"/>
                <w:sz w:val="20"/>
                <w:szCs w:val="20"/>
              </w:rPr>
              <w:t>buyer’s</w:t>
            </w:r>
            <w:r w:rsidRPr="00A63B82">
              <w:rPr>
                <w:rFonts w:asciiTheme="majorHAnsi" w:eastAsia="Times New Roman" w:hAnsiTheme="majorHAnsi" w:cs="Arial"/>
                <w:color w:val="000000"/>
                <w:sz w:val="20"/>
                <w:szCs w:val="20"/>
              </w:rPr>
              <w:t xml:space="preserve"> decision to purchase a property in the local area. It is intended to educate the seller and buyer. Check your area and find out if there are local area disclosures for properties you are purchasing or selling.</w:t>
            </w:r>
          </w:p>
        </w:tc>
      </w:tr>
      <w:tr w:rsidR="00A63B82" w14:paraId="6BCDC067" w14:textId="77777777" w:rsidTr="00A63B82">
        <w:tblPrEx>
          <w:shd w:val="clear" w:color="auto" w:fill="auto"/>
        </w:tblPrEx>
        <w:trPr>
          <w:gridBefore w:val="1"/>
          <w:wBefore w:w="6" w:type="dxa"/>
        </w:trPr>
        <w:tc>
          <w:tcPr>
            <w:tcW w:w="4983" w:type="dxa"/>
            <w:vAlign w:val="center"/>
          </w:tcPr>
          <w:p w14:paraId="637B6C24" w14:textId="67FF87D2"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Local Area Disclosure Receipt</w:t>
            </w:r>
          </w:p>
        </w:tc>
        <w:tc>
          <w:tcPr>
            <w:tcW w:w="545" w:type="dxa"/>
            <w:vAlign w:val="center"/>
          </w:tcPr>
          <w:p w14:paraId="10F08064" w14:textId="7A3F863C"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089" w:type="dxa"/>
            <w:gridSpan w:val="2"/>
            <w:vAlign w:val="center"/>
          </w:tcPr>
          <w:p w14:paraId="757A3199" w14:textId="632C843A"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This form acknowledges that the seller &amp; buyer have received and read the Local Area Disclosure Report booklet. (SBSA)</w:t>
            </w:r>
          </w:p>
        </w:tc>
      </w:tr>
      <w:tr w:rsidR="00A63B82" w14:paraId="160174DF" w14:textId="77777777" w:rsidTr="00A63B82">
        <w:tblPrEx>
          <w:shd w:val="clear" w:color="auto" w:fill="auto"/>
        </w:tblPrEx>
        <w:trPr>
          <w:gridBefore w:val="1"/>
          <w:wBefore w:w="6" w:type="dxa"/>
        </w:trPr>
        <w:tc>
          <w:tcPr>
            <w:tcW w:w="4983" w:type="dxa"/>
            <w:vAlign w:val="center"/>
          </w:tcPr>
          <w:p w14:paraId="52A985CD" w14:textId="510A72C8" w:rsidR="00A63B82" w:rsidRPr="00A63B82" w:rsidRDefault="00A63B82" w:rsidP="00A63B82">
            <w:pPr>
              <w:pStyle w:val="ListParagraph"/>
              <w:numPr>
                <w:ilvl w:val="0"/>
                <w:numId w:val="6"/>
              </w:numPr>
              <w:ind w:left="361"/>
              <w:rPr>
                <w:rFonts w:asciiTheme="majorHAnsi" w:hAnsiTheme="majorHAnsi"/>
                <w:b/>
              </w:rPr>
            </w:pPr>
            <w:r w:rsidRPr="00A63B82">
              <w:rPr>
                <w:rFonts w:asciiTheme="majorHAnsi" w:eastAsia="Times New Roman" w:hAnsiTheme="majorHAnsi" w:cs="Arial"/>
                <w:b/>
                <w:color w:val="000000"/>
              </w:rPr>
              <w:t>Risk Management Escrow Payment Form</w:t>
            </w:r>
          </w:p>
        </w:tc>
        <w:tc>
          <w:tcPr>
            <w:tcW w:w="545" w:type="dxa"/>
            <w:vAlign w:val="center"/>
          </w:tcPr>
          <w:p w14:paraId="4C7EF91E" w14:textId="720DB750" w:rsidR="00A63B82" w:rsidRPr="00A63B82" w:rsidRDefault="00A63B82" w:rsidP="00A63B82">
            <w:pPr>
              <w:jc w:val="center"/>
              <w:rPr>
                <w:rFonts w:asciiTheme="majorHAnsi" w:hAnsiTheme="majorHAnsi"/>
                <w:sz w:val="20"/>
                <w:szCs w:val="20"/>
              </w:rPr>
            </w:pPr>
            <w:r w:rsidRPr="00A63B82">
              <w:rPr>
                <w:rFonts w:asciiTheme="majorHAnsi" w:eastAsia="Times New Roman" w:hAnsiTheme="majorHAnsi" w:cs="Arial"/>
                <w:color w:val="000000"/>
                <w:sz w:val="20"/>
                <w:szCs w:val="20"/>
              </w:rPr>
              <w:t>IA</w:t>
            </w:r>
          </w:p>
        </w:tc>
        <w:tc>
          <w:tcPr>
            <w:tcW w:w="9089" w:type="dxa"/>
            <w:gridSpan w:val="2"/>
            <w:vAlign w:val="center"/>
          </w:tcPr>
          <w:p w14:paraId="3E27C01A" w14:textId="3DD982F5" w:rsidR="00A63B82" w:rsidRPr="00A63B82" w:rsidRDefault="00A63B82" w:rsidP="00A63B82">
            <w:pPr>
              <w:rPr>
                <w:rFonts w:asciiTheme="majorHAnsi" w:hAnsiTheme="majorHAnsi"/>
                <w:sz w:val="20"/>
                <w:szCs w:val="20"/>
              </w:rPr>
            </w:pPr>
            <w:r w:rsidRPr="00A63B82">
              <w:rPr>
                <w:rFonts w:asciiTheme="majorHAnsi" w:eastAsia="Times New Roman" w:hAnsiTheme="majorHAnsi" w:cs="Arial"/>
                <w:color w:val="000000"/>
                <w:sz w:val="20"/>
                <w:szCs w:val="20"/>
              </w:rPr>
              <w:t xml:space="preserve">If applicable, complete the Risk Management Escrow Payment Form and then make sure you send it to escrow. </w:t>
            </w:r>
          </w:p>
        </w:tc>
      </w:tr>
    </w:tbl>
    <w:p w14:paraId="0B9519AF" w14:textId="77777777" w:rsidR="00B63081" w:rsidRPr="00A63B82" w:rsidRDefault="00B63081" w:rsidP="00B63081">
      <w:pPr>
        <w:rPr>
          <w:rFonts w:asciiTheme="majorHAnsi" w:eastAsia="Times New Roman" w:hAnsiTheme="majorHAnsi" w:cs="Times New Roman"/>
          <w:sz w:val="20"/>
          <w:szCs w:val="20"/>
        </w:rPr>
      </w:pPr>
      <w:r w:rsidRPr="00A63B82">
        <w:rPr>
          <w:rFonts w:asciiTheme="majorHAnsi" w:hAnsiTheme="majorHAnsi"/>
          <w:b/>
          <w:sz w:val="20"/>
          <w:szCs w:val="20"/>
        </w:rPr>
        <w:t>Note:</w:t>
      </w:r>
      <w:r w:rsidRPr="00A63B82">
        <w:rPr>
          <w:rFonts w:asciiTheme="majorHAnsi" w:hAnsiTheme="majorHAnsi"/>
          <w:sz w:val="20"/>
          <w:szCs w:val="20"/>
        </w:rPr>
        <w:t xml:space="preserve"> </w:t>
      </w:r>
      <w:r w:rsidRPr="00A63B82">
        <w:rPr>
          <w:rFonts w:asciiTheme="majorHAnsi" w:eastAsia="Times New Roman" w:hAnsiTheme="majorHAnsi" w:cs="Arial"/>
          <w:color w:val="000000"/>
          <w:sz w:val="20"/>
          <w:szCs w:val="20"/>
        </w:rPr>
        <w:t>You will want to modify this list depending on the transaction type and state you are closing in. Not all documents are required for every closing.</w:t>
      </w:r>
    </w:p>
    <w:p w14:paraId="7206FD07" w14:textId="77777777" w:rsidR="00B63081" w:rsidRDefault="00B63081" w:rsidP="00B63081">
      <w:pPr>
        <w:rPr>
          <w:rFonts w:asciiTheme="majorHAnsi" w:hAnsiTheme="majorHAnsi"/>
          <w:sz w:val="20"/>
          <w:szCs w:val="20"/>
        </w:rPr>
      </w:pPr>
      <w:r w:rsidRPr="00A63B82">
        <w:rPr>
          <w:rFonts w:asciiTheme="majorHAnsi" w:hAnsiTheme="majorHAnsi"/>
          <w:b/>
          <w:sz w:val="20"/>
          <w:szCs w:val="20"/>
        </w:rPr>
        <w:t>M</w:t>
      </w:r>
      <w:r w:rsidRPr="00A63B82">
        <w:rPr>
          <w:rFonts w:asciiTheme="majorHAnsi" w:hAnsiTheme="majorHAnsi"/>
          <w:sz w:val="20"/>
          <w:szCs w:val="20"/>
        </w:rPr>
        <w:t xml:space="preserve"> = Mandatory | </w:t>
      </w:r>
      <w:r w:rsidRPr="00A63B82">
        <w:rPr>
          <w:rFonts w:asciiTheme="majorHAnsi" w:hAnsiTheme="majorHAnsi"/>
          <w:b/>
          <w:sz w:val="20"/>
          <w:szCs w:val="20"/>
        </w:rPr>
        <w:t>IA</w:t>
      </w:r>
      <w:r w:rsidRPr="00A63B82">
        <w:rPr>
          <w:rFonts w:asciiTheme="majorHAnsi" w:hAnsiTheme="majorHAnsi"/>
          <w:sz w:val="20"/>
          <w:szCs w:val="20"/>
        </w:rPr>
        <w:t xml:space="preserve"> = If Applicable</w:t>
      </w:r>
    </w:p>
    <w:tbl>
      <w:tblPr>
        <w:tblStyle w:val="TableGrid"/>
        <w:tblW w:w="0" w:type="auto"/>
        <w:tblInd w:w="-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00CCFF"/>
        <w:tblLook w:val="04A0" w:firstRow="1" w:lastRow="0" w:firstColumn="1" w:lastColumn="0" w:noHBand="0" w:noVBand="1"/>
      </w:tblPr>
      <w:tblGrid>
        <w:gridCol w:w="6"/>
        <w:gridCol w:w="4983"/>
        <w:gridCol w:w="545"/>
        <w:gridCol w:w="9082"/>
        <w:gridCol w:w="7"/>
      </w:tblGrid>
      <w:tr w:rsidR="00B63081" w14:paraId="0A2BAF6D" w14:textId="77777777" w:rsidTr="00CE56C0">
        <w:trPr>
          <w:gridAfter w:val="1"/>
          <w:wAfter w:w="7" w:type="dxa"/>
        </w:trPr>
        <w:tc>
          <w:tcPr>
            <w:tcW w:w="14616" w:type="dxa"/>
            <w:gridSpan w:val="4"/>
            <w:shd w:val="clear" w:color="auto" w:fill="164FB1"/>
          </w:tcPr>
          <w:p w14:paraId="2924F730" w14:textId="2E5D2612" w:rsidR="00B63081" w:rsidRPr="00FE6F50" w:rsidRDefault="00B63081" w:rsidP="00CE56C0">
            <w:pPr>
              <w:rPr>
                <w:rFonts w:asciiTheme="majorHAnsi" w:hAnsiTheme="majorHAnsi"/>
                <w:b/>
                <w:color w:val="FFFFFF" w:themeColor="background1"/>
                <w:sz w:val="32"/>
                <w:szCs w:val="32"/>
              </w:rPr>
            </w:pPr>
            <w:r>
              <w:rPr>
                <w:rFonts w:asciiTheme="majorHAnsi" w:hAnsiTheme="majorHAnsi"/>
                <w:b/>
                <w:bCs/>
                <w:color w:val="FFFFFF" w:themeColor="background1"/>
                <w:sz w:val="32"/>
                <w:szCs w:val="32"/>
              </w:rPr>
              <w:lastRenderedPageBreak/>
              <w:t>REPORTS</w:t>
            </w:r>
          </w:p>
        </w:tc>
      </w:tr>
      <w:tr w:rsidR="00B63081" w14:paraId="288318EC" w14:textId="77777777" w:rsidTr="00B63081">
        <w:tblPrEx>
          <w:shd w:val="clear" w:color="auto" w:fill="auto"/>
        </w:tblPrEx>
        <w:trPr>
          <w:gridBefore w:val="1"/>
          <w:wBefore w:w="6" w:type="dxa"/>
        </w:trPr>
        <w:tc>
          <w:tcPr>
            <w:tcW w:w="4983" w:type="dxa"/>
            <w:vAlign w:val="center"/>
          </w:tcPr>
          <w:p w14:paraId="1F749F38" w14:textId="4A38D1FA" w:rsidR="00B63081" w:rsidRPr="00B63081" w:rsidRDefault="00B63081" w:rsidP="00B63081">
            <w:pPr>
              <w:pStyle w:val="ListParagraph"/>
              <w:numPr>
                <w:ilvl w:val="0"/>
                <w:numId w:val="6"/>
              </w:numPr>
              <w:ind w:left="361"/>
              <w:rPr>
                <w:rFonts w:asciiTheme="majorHAnsi" w:hAnsiTheme="majorHAnsi"/>
                <w:b/>
              </w:rPr>
            </w:pPr>
            <w:r w:rsidRPr="00B63081">
              <w:rPr>
                <w:rFonts w:asciiTheme="majorHAnsi" w:eastAsia="Times New Roman" w:hAnsiTheme="majorHAnsi" w:cs="Arial"/>
                <w:b/>
                <w:color w:val="000000"/>
              </w:rPr>
              <w:t xml:space="preserve">Termite Structural Pest Control </w:t>
            </w:r>
            <w:r>
              <w:rPr>
                <w:rFonts w:asciiTheme="majorHAnsi" w:eastAsia="Times New Roman" w:hAnsiTheme="majorHAnsi" w:cs="Arial"/>
                <w:b/>
                <w:color w:val="000000"/>
              </w:rPr>
              <w:br/>
            </w:r>
            <w:r w:rsidRPr="00B63081">
              <w:rPr>
                <w:rFonts w:asciiTheme="majorHAnsi" w:eastAsia="Times New Roman" w:hAnsiTheme="majorHAnsi" w:cs="Arial"/>
                <w:b/>
                <w:color w:val="000000"/>
              </w:rPr>
              <w:t>Inspection Report</w:t>
            </w:r>
          </w:p>
        </w:tc>
        <w:tc>
          <w:tcPr>
            <w:tcW w:w="545" w:type="dxa"/>
            <w:vAlign w:val="center"/>
          </w:tcPr>
          <w:p w14:paraId="580CE65B" w14:textId="1083126D" w:rsidR="00B63081" w:rsidRPr="00B63081" w:rsidRDefault="00B63081" w:rsidP="00B63081">
            <w:pPr>
              <w:jc w:val="center"/>
              <w:rPr>
                <w:rFonts w:asciiTheme="majorHAnsi" w:hAnsiTheme="majorHAnsi"/>
                <w:sz w:val="20"/>
                <w:szCs w:val="20"/>
              </w:rPr>
            </w:pPr>
            <w:r w:rsidRPr="00B63081">
              <w:rPr>
                <w:rFonts w:asciiTheme="majorHAnsi" w:eastAsia="Times New Roman" w:hAnsiTheme="majorHAnsi" w:cs="Arial"/>
                <w:color w:val="000000"/>
                <w:sz w:val="20"/>
                <w:szCs w:val="20"/>
              </w:rPr>
              <w:t>IA</w:t>
            </w:r>
          </w:p>
        </w:tc>
        <w:tc>
          <w:tcPr>
            <w:tcW w:w="9089" w:type="dxa"/>
            <w:gridSpan w:val="2"/>
            <w:vAlign w:val="center"/>
          </w:tcPr>
          <w:p w14:paraId="01EE280D" w14:textId="3A0F4C53" w:rsidR="00B63081" w:rsidRPr="00B63081" w:rsidRDefault="00B63081" w:rsidP="00B63081">
            <w:pPr>
              <w:rPr>
                <w:rFonts w:asciiTheme="majorHAnsi" w:hAnsiTheme="majorHAnsi"/>
                <w:sz w:val="20"/>
                <w:szCs w:val="20"/>
              </w:rPr>
            </w:pPr>
            <w:r w:rsidRPr="00B63081">
              <w:rPr>
                <w:rFonts w:asciiTheme="majorHAnsi" w:eastAsia="Times New Roman" w:hAnsiTheme="majorHAnsi" w:cs="Arial"/>
                <w:color w:val="000000"/>
                <w:sz w:val="20"/>
                <w:szCs w:val="20"/>
              </w:rPr>
              <w:t>If applicable, ensure that the seller complete a Termite Structural Pest Control Inspection Report and provide the inspection report to the buyer side for review within the allotted time period. The listing agent must ensure that Section I repairs are completed as per agreement and is typically the responsibility of the seller. Also, lenders typically require Section I work to be completed and certified before a loan will be approved and funded.</w:t>
            </w:r>
          </w:p>
        </w:tc>
      </w:tr>
      <w:tr w:rsidR="00B63081" w14:paraId="06E59AFA" w14:textId="77777777" w:rsidTr="00B63081">
        <w:tblPrEx>
          <w:shd w:val="clear" w:color="auto" w:fill="auto"/>
        </w:tblPrEx>
        <w:trPr>
          <w:gridBefore w:val="1"/>
          <w:wBefore w:w="6" w:type="dxa"/>
        </w:trPr>
        <w:tc>
          <w:tcPr>
            <w:tcW w:w="4983" w:type="dxa"/>
            <w:vAlign w:val="center"/>
          </w:tcPr>
          <w:p w14:paraId="485FD0EE" w14:textId="00DC40F6" w:rsidR="00B63081" w:rsidRPr="00B63081" w:rsidRDefault="00B63081" w:rsidP="00B63081">
            <w:pPr>
              <w:pStyle w:val="ListParagraph"/>
              <w:numPr>
                <w:ilvl w:val="0"/>
                <w:numId w:val="6"/>
              </w:numPr>
              <w:ind w:left="361"/>
              <w:rPr>
                <w:rFonts w:asciiTheme="majorHAnsi" w:hAnsiTheme="majorHAnsi"/>
                <w:b/>
              </w:rPr>
            </w:pPr>
            <w:r w:rsidRPr="00B63081">
              <w:rPr>
                <w:rFonts w:asciiTheme="majorHAnsi" w:eastAsia="Times New Roman" w:hAnsiTheme="majorHAnsi" w:cs="Arial"/>
                <w:b/>
                <w:color w:val="000000"/>
              </w:rPr>
              <w:t xml:space="preserve">Termite Structural Pest Control </w:t>
            </w:r>
            <w:r>
              <w:rPr>
                <w:rFonts w:asciiTheme="majorHAnsi" w:eastAsia="Times New Roman" w:hAnsiTheme="majorHAnsi" w:cs="Arial"/>
                <w:b/>
                <w:color w:val="000000"/>
              </w:rPr>
              <w:br/>
            </w:r>
            <w:r w:rsidRPr="00B63081">
              <w:rPr>
                <w:rFonts w:asciiTheme="majorHAnsi" w:eastAsia="Times New Roman" w:hAnsiTheme="majorHAnsi" w:cs="Arial"/>
                <w:b/>
                <w:color w:val="000000"/>
              </w:rPr>
              <w:t>Inspection Report Clearance</w:t>
            </w:r>
          </w:p>
        </w:tc>
        <w:tc>
          <w:tcPr>
            <w:tcW w:w="545" w:type="dxa"/>
            <w:vAlign w:val="center"/>
          </w:tcPr>
          <w:p w14:paraId="1EDF17F9" w14:textId="0F669639" w:rsidR="00B63081" w:rsidRPr="00B63081" w:rsidRDefault="00B63081" w:rsidP="00B63081">
            <w:pPr>
              <w:jc w:val="center"/>
              <w:rPr>
                <w:rFonts w:asciiTheme="majorHAnsi" w:hAnsiTheme="majorHAnsi"/>
                <w:sz w:val="20"/>
                <w:szCs w:val="20"/>
              </w:rPr>
            </w:pPr>
            <w:r w:rsidRPr="00B63081">
              <w:rPr>
                <w:rFonts w:asciiTheme="majorHAnsi" w:eastAsia="Times New Roman" w:hAnsiTheme="majorHAnsi" w:cs="Arial"/>
                <w:color w:val="000000"/>
                <w:sz w:val="20"/>
                <w:szCs w:val="20"/>
              </w:rPr>
              <w:t>IA</w:t>
            </w:r>
          </w:p>
        </w:tc>
        <w:tc>
          <w:tcPr>
            <w:tcW w:w="9089" w:type="dxa"/>
            <w:gridSpan w:val="2"/>
            <w:vAlign w:val="center"/>
          </w:tcPr>
          <w:p w14:paraId="6FA7794E" w14:textId="5197BBF2" w:rsidR="00B63081" w:rsidRPr="00B63081" w:rsidRDefault="00B63081" w:rsidP="00B63081">
            <w:pPr>
              <w:rPr>
                <w:rFonts w:asciiTheme="majorHAnsi" w:hAnsiTheme="majorHAnsi"/>
                <w:sz w:val="20"/>
                <w:szCs w:val="20"/>
              </w:rPr>
            </w:pPr>
            <w:r w:rsidRPr="00B63081">
              <w:rPr>
                <w:rFonts w:asciiTheme="majorHAnsi" w:eastAsia="Times New Roman" w:hAnsiTheme="majorHAnsi" w:cs="Arial"/>
                <w:color w:val="000000"/>
                <w:sz w:val="20"/>
                <w:szCs w:val="20"/>
              </w:rPr>
              <w:t>The listing agent must ensure that the Termite Structural Pest Control Inspection Report &amp; Report Clearance is delivered to and reviewed and approved by the buyer.</w:t>
            </w:r>
          </w:p>
        </w:tc>
      </w:tr>
      <w:tr w:rsidR="00B63081" w14:paraId="6DACFBBD" w14:textId="77777777" w:rsidTr="00B63081">
        <w:tblPrEx>
          <w:shd w:val="clear" w:color="auto" w:fill="auto"/>
        </w:tblPrEx>
        <w:trPr>
          <w:gridBefore w:val="1"/>
          <w:wBefore w:w="6" w:type="dxa"/>
        </w:trPr>
        <w:tc>
          <w:tcPr>
            <w:tcW w:w="4983" w:type="dxa"/>
            <w:vAlign w:val="center"/>
          </w:tcPr>
          <w:p w14:paraId="31772331" w14:textId="75D7318F" w:rsidR="00B63081" w:rsidRPr="00B63081" w:rsidRDefault="00B63081" w:rsidP="00B63081">
            <w:pPr>
              <w:pStyle w:val="ListParagraph"/>
              <w:numPr>
                <w:ilvl w:val="0"/>
                <w:numId w:val="6"/>
              </w:numPr>
              <w:ind w:left="361"/>
              <w:rPr>
                <w:rFonts w:asciiTheme="majorHAnsi" w:hAnsiTheme="majorHAnsi"/>
                <w:b/>
              </w:rPr>
            </w:pPr>
            <w:r w:rsidRPr="00B63081">
              <w:rPr>
                <w:rFonts w:asciiTheme="majorHAnsi" w:eastAsia="Times New Roman" w:hAnsiTheme="majorHAnsi" w:cs="Arial"/>
                <w:b/>
                <w:color w:val="000000"/>
              </w:rPr>
              <w:t>Buyer Inspection Election</w:t>
            </w:r>
          </w:p>
        </w:tc>
        <w:tc>
          <w:tcPr>
            <w:tcW w:w="545" w:type="dxa"/>
            <w:vAlign w:val="center"/>
          </w:tcPr>
          <w:p w14:paraId="428DD562" w14:textId="6D9DCC24" w:rsidR="00B63081" w:rsidRPr="00B63081" w:rsidRDefault="00B63081" w:rsidP="00B63081">
            <w:pPr>
              <w:jc w:val="center"/>
              <w:rPr>
                <w:rFonts w:asciiTheme="majorHAnsi" w:hAnsiTheme="majorHAnsi"/>
                <w:sz w:val="20"/>
                <w:szCs w:val="20"/>
              </w:rPr>
            </w:pPr>
            <w:r w:rsidRPr="00B63081">
              <w:rPr>
                <w:rFonts w:asciiTheme="majorHAnsi" w:eastAsia="Times New Roman" w:hAnsiTheme="majorHAnsi" w:cs="Arial"/>
                <w:color w:val="000000"/>
                <w:sz w:val="20"/>
                <w:szCs w:val="20"/>
              </w:rPr>
              <w:t>IA</w:t>
            </w:r>
          </w:p>
        </w:tc>
        <w:tc>
          <w:tcPr>
            <w:tcW w:w="9089" w:type="dxa"/>
            <w:gridSpan w:val="2"/>
            <w:vAlign w:val="center"/>
          </w:tcPr>
          <w:p w14:paraId="563FEE7C" w14:textId="451206C2" w:rsidR="00B63081" w:rsidRPr="00B63081" w:rsidRDefault="00B63081" w:rsidP="00B63081">
            <w:pPr>
              <w:rPr>
                <w:rFonts w:asciiTheme="majorHAnsi" w:hAnsiTheme="majorHAnsi"/>
                <w:sz w:val="20"/>
                <w:szCs w:val="20"/>
              </w:rPr>
            </w:pPr>
            <w:r w:rsidRPr="00B63081">
              <w:rPr>
                <w:rFonts w:asciiTheme="majorHAnsi" w:eastAsia="Times New Roman" w:hAnsiTheme="majorHAnsi" w:cs="Arial"/>
                <w:color w:val="000000"/>
                <w:sz w:val="20"/>
                <w:szCs w:val="20"/>
              </w:rPr>
              <w:t>If applicable, this form outlines a list of 32 common things a buyer would want to get inspected on a home from general home inspections, to wood destroying pests, to zoning, to permits, to soil stability, to wells, to the septic system, etc. (BIE)</w:t>
            </w:r>
          </w:p>
        </w:tc>
      </w:tr>
      <w:tr w:rsidR="00B63081" w14:paraId="64598274" w14:textId="77777777" w:rsidTr="00B63081">
        <w:tblPrEx>
          <w:shd w:val="clear" w:color="auto" w:fill="auto"/>
        </w:tblPrEx>
        <w:trPr>
          <w:gridBefore w:val="1"/>
          <w:wBefore w:w="6" w:type="dxa"/>
        </w:trPr>
        <w:tc>
          <w:tcPr>
            <w:tcW w:w="4983" w:type="dxa"/>
            <w:vAlign w:val="center"/>
          </w:tcPr>
          <w:p w14:paraId="204262B2" w14:textId="0ABC0ABD" w:rsidR="00B63081" w:rsidRPr="00B63081" w:rsidRDefault="00B63081" w:rsidP="00B63081">
            <w:pPr>
              <w:pStyle w:val="ListParagraph"/>
              <w:numPr>
                <w:ilvl w:val="0"/>
                <w:numId w:val="6"/>
              </w:numPr>
              <w:ind w:left="361"/>
              <w:rPr>
                <w:rFonts w:asciiTheme="majorHAnsi" w:hAnsiTheme="majorHAnsi"/>
                <w:b/>
              </w:rPr>
            </w:pPr>
            <w:r w:rsidRPr="00B63081">
              <w:rPr>
                <w:rFonts w:asciiTheme="majorHAnsi" w:eastAsia="Times New Roman" w:hAnsiTheme="majorHAnsi" w:cs="Arial"/>
                <w:b/>
                <w:color w:val="000000"/>
              </w:rPr>
              <w:t xml:space="preserve">Physical Home Inspection Report: </w:t>
            </w:r>
            <w:r>
              <w:rPr>
                <w:rFonts w:asciiTheme="majorHAnsi" w:eastAsia="Times New Roman" w:hAnsiTheme="majorHAnsi" w:cs="Arial"/>
                <w:b/>
                <w:color w:val="000000"/>
              </w:rPr>
              <w:br/>
            </w:r>
            <w:r w:rsidRPr="00B63081">
              <w:rPr>
                <w:rFonts w:asciiTheme="majorHAnsi" w:eastAsia="Times New Roman" w:hAnsiTheme="majorHAnsi" w:cs="Arial"/>
                <w:b/>
                <w:color w:val="000000"/>
              </w:rPr>
              <w:t>Company_______________ or Waiver</w:t>
            </w:r>
          </w:p>
        </w:tc>
        <w:tc>
          <w:tcPr>
            <w:tcW w:w="545" w:type="dxa"/>
            <w:vAlign w:val="center"/>
          </w:tcPr>
          <w:p w14:paraId="2DD102D5" w14:textId="59AD6D33" w:rsidR="00B63081" w:rsidRPr="00B63081" w:rsidRDefault="00B63081" w:rsidP="00B63081">
            <w:pPr>
              <w:jc w:val="center"/>
              <w:rPr>
                <w:rFonts w:asciiTheme="majorHAnsi" w:hAnsiTheme="majorHAnsi"/>
                <w:sz w:val="20"/>
                <w:szCs w:val="20"/>
              </w:rPr>
            </w:pPr>
            <w:r w:rsidRPr="00B63081">
              <w:rPr>
                <w:rFonts w:asciiTheme="majorHAnsi" w:eastAsia="Times New Roman" w:hAnsiTheme="majorHAnsi" w:cs="Arial"/>
                <w:color w:val="000000"/>
                <w:sz w:val="20"/>
                <w:szCs w:val="20"/>
              </w:rPr>
              <w:t>IA</w:t>
            </w:r>
          </w:p>
        </w:tc>
        <w:tc>
          <w:tcPr>
            <w:tcW w:w="9089" w:type="dxa"/>
            <w:gridSpan w:val="2"/>
            <w:vAlign w:val="center"/>
          </w:tcPr>
          <w:p w14:paraId="466679C0" w14:textId="5F9A2421" w:rsidR="00B63081" w:rsidRPr="00B63081" w:rsidRDefault="00B63081" w:rsidP="00B63081">
            <w:pPr>
              <w:rPr>
                <w:rFonts w:asciiTheme="majorHAnsi" w:hAnsiTheme="majorHAnsi"/>
                <w:sz w:val="20"/>
                <w:szCs w:val="20"/>
              </w:rPr>
            </w:pPr>
            <w:r w:rsidRPr="00B63081">
              <w:rPr>
                <w:rFonts w:asciiTheme="majorHAnsi" w:eastAsia="Times New Roman" w:hAnsiTheme="majorHAnsi" w:cs="Arial"/>
                <w:color w:val="000000"/>
                <w:sz w:val="20"/>
                <w:szCs w:val="20"/>
              </w:rPr>
              <w:t xml:space="preserve">This is the Home Inspection Report that would be ordered by the buyer and usually conducted within 14 days of signing the purchase and sale agreement. </w:t>
            </w:r>
          </w:p>
        </w:tc>
      </w:tr>
      <w:tr w:rsidR="00B63081" w14:paraId="5F4B4956" w14:textId="77777777" w:rsidTr="00B63081">
        <w:tblPrEx>
          <w:shd w:val="clear" w:color="auto" w:fill="auto"/>
        </w:tblPrEx>
        <w:trPr>
          <w:gridBefore w:val="1"/>
          <w:wBefore w:w="6" w:type="dxa"/>
        </w:trPr>
        <w:tc>
          <w:tcPr>
            <w:tcW w:w="4983" w:type="dxa"/>
            <w:vAlign w:val="center"/>
          </w:tcPr>
          <w:p w14:paraId="19329872" w14:textId="6AF4BE63" w:rsidR="00B63081" w:rsidRPr="00B63081" w:rsidRDefault="00B63081" w:rsidP="00B63081">
            <w:pPr>
              <w:pStyle w:val="ListParagraph"/>
              <w:numPr>
                <w:ilvl w:val="0"/>
                <w:numId w:val="6"/>
              </w:numPr>
              <w:ind w:left="361"/>
              <w:rPr>
                <w:rFonts w:asciiTheme="majorHAnsi" w:hAnsiTheme="majorHAnsi"/>
                <w:b/>
              </w:rPr>
            </w:pPr>
            <w:r w:rsidRPr="00B63081">
              <w:rPr>
                <w:rFonts w:asciiTheme="majorHAnsi" w:eastAsia="Times New Roman" w:hAnsiTheme="majorHAnsi" w:cs="Arial"/>
                <w:b/>
                <w:color w:val="000000"/>
              </w:rPr>
              <w:t xml:space="preserve">Seller Response and Buyer Reply to </w:t>
            </w:r>
            <w:r>
              <w:rPr>
                <w:rFonts w:asciiTheme="majorHAnsi" w:eastAsia="Times New Roman" w:hAnsiTheme="majorHAnsi" w:cs="Arial"/>
                <w:b/>
                <w:color w:val="000000"/>
              </w:rPr>
              <w:br/>
            </w:r>
            <w:r w:rsidRPr="00B63081">
              <w:rPr>
                <w:rFonts w:asciiTheme="majorHAnsi" w:eastAsia="Times New Roman" w:hAnsiTheme="majorHAnsi" w:cs="Arial"/>
                <w:b/>
                <w:color w:val="000000"/>
              </w:rPr>
              <w:t>Request for Repair</w:t>
            </w:r>
          </w:p>
        </w:tc>
        <w:tc>
          <w:tcPr>
            <w:tcW w:w="545" w:type="dxa"/>
            <w:vAlign w:val="center"/>
          </w:tcPr>
          <w:p w14:paraId="450F1891" w14:textId="6D431B8F" w:rsidR="00B63081" w:rsidRPr="00B63081" w:rsidRDefault="00B63081" w:rsidP="00B63081">
            <w:pPr>
              <w:jc w:val="center"/>
              <w:rPr>
                <w:rFonts w:asciiTheme="majorHAnsi" w:hAnsiTheme="majorHAnsi"/>
                <w:sz w:val="20"/>
                <w:szCs w:val="20"/>
              </w:rPr>
            </w:pPr>
            <w:r w:rsidRPr="00B63081">
              <w:rPr>
                <w:rFonts w:asciiTheme="majorHAnsi" w:eastAsia="Times New Roman" w:hAnsiTheme="majorHAnsi" w:cs="Arial"/>
                <w:color w:val="000000"/>
                <w:sz w:val="20"/>
                <w:szCs w:val="20"/>
              </w:rPr>
              <w:t>IA</w:t>
            </w:r>
          </w:p>
        </w:tc>
        <w:tc>
          <w:tcPr>
            <w:tcW w:w="9089" w:type="dxa"/>
            <w:gridSpan w:val="2"/>
            <w:vAlign w:val="center"/>
          </w:tcPr>
          <w:p w14:paraId="6F2E53A1" w14:textId="3768F628" w:rsidR="00B63081" w:rsidRPr="00B63081" w:rsidRDefault="00B63081" w:rsidP="00B63081">
            <w:pPr>
              <w:rPr>
                <w:rFonts w:asciiTheme="majorHAnsi" w:hAnsiTheme="majorHAnsi"/>
                <w:sz w:val="20"/>
                <w:szCs w:val="20"/>
              </w:rPr>
            </w:pPr>
            <w:r w:rsidRPr="00B63081">
              <w:rPr>
                <w:rFonts w:asciiTheme="majorHAnsi" w:eastAsia="Times New Roman" w:hAnsiTheme="majorHAnsi" w:cs="Arial"/>
                <w:color w:val="000000"/>
                <w:sz w:val="20"/>
                <w:szCs w:val="20"/>
              </w:rPr>
              <w:t>If applicable, complete the Seller Response and Buyer Reply to Request for Repair – seller's response to buyer's Request for Repair. Please note that the seller does not have to respond to the RR, if desired. (RRRR)</w:t>
            </w:r>
          </w:p>
        </w:tc>
      </w:tr>
      <w:tr w:rsidR="00B63081" w14:paraId="3FD27F7A" w14:textId="77777777" w:rsidTr="00B63081">
        <w:tblPrEx>
          <w:shd w:val="clear" w:color="auto" w:fill="auto"/>
        </w:tblPrEx>
        <w:trPr>
          <w:gridBefore w:val="1"/>
          <w:wBefore w:w="6" w:type="dxa"/>
        </w:trPr>
        <w:tc>
          <w:tcPr>
            <w:tcW w:w="4983" w:type="dxa"/>
            <w:vAlign w:val="center"/>
          </w:tcPr>
          <w:p w14:paraId="5A93C7AD" w14:textId="5F9D3B48" w:rsidR="00B63081" w:rsidRPr="00B63081" w:rsidRDefault="00B63081" w:rsidP="00B63081">
            <w:pPr>
              <w:pStyle w:val="ListParagraph"/>
              <w:numPr>
                <w:ilvl w:val="0"/>
                <w:numId w:val="6"/>
              </w:numPr>
              <w:ind w:left="361"/>
              <w:rPr>
                <w:rFonts w:asciiTheme="majorHAnsi" w:hAnsiTheme="majorHAnsi"/>
                <w:b/>
              </w:rPr>
            </w:pPr>
            <w:r w:rsidRPr="00B63081">
              <w:rPr>
                <w:rFonts w:asciiTheme="majorHAnsi" w:eastAsia="Times New Roman" w:hAnsiTheme="majorHAnsi" w:cs="Arial"/>
                <w:b/>
                <w:color w:val="000000"/>
              </w:rPr>
              <w:t>Septic Certification</w:t>
            </w:r>
          </w:p>
        </w:tc>
        <w:tc>
          <w:tcPr>
            <w:tcW w:w="545" w:type="dxa"/>
            <w:vAlign w:val="center"/>
          </w:tcPr>
          <w:p w14:paraId="72602970" w14:textId="42853B94" w:rsidR="00B63081" w:rsidRPr="00B63081" w:rsidRDefault="00B63081" w:rsidP="00B63081">
            <w:pPr>
              <w:jc w:val="center"/>
              <w:rPr>
                <w:rFonts w:asciiTheme="majorHAnsi" w:hAnsiTheme="majorHAnsi"/>
                <w:sz w:val="20"/>
                <w:szCs w:val="20"/>
              </w:rPr>
            </w:pPr>
            <w:r w:rsidRPr="00B63081">
              <w:rPr>
                <w:rFonts w:asciiTheme="majorHAnsi" w:eastAsia="Times New Roman" w:hAnsiTheme="majorHAnsi" w:cs="Arial"/>
                <w:color w:val="000000"/>
                <w:sz w:val="20"/>
                <w:szCs w:val="20"/>
              </w:rPr>
              <w:t>IA</w:t>
            </w:r>
          </w:p>
        </w:tc>
        <w:tc>
          <w:tcPr>
            <w:tcW w:w="9089" w:type="dxa"/>
            <w:gridSpan w:val="2"/>
            <w:vAlign w:val="center"/>
          </w:tcPr>
          <w:p w14:paraId="6E22959C" w14:textId="50B83326" w:rsidR="00B63081" w:rsidRPr="00B63081" w:rsidRDefault="00B63081" w:rsidP="00B63081">
            <w:pPr>
              <w:rPr>
                <w:rFonts w:asciiTheme="majorHAnsi" w:hAnsiTheme="majorHAnsi"/>
                <w:sz w:val="20"/>
                <w:szCs w:val="20"/>
              </w:rPr>
            </w:pPr>
            <w:r w:rsidRPr="00B63081">
              <w:rPr>
                <w:rFonts w:asciiTheme="majorHAnsi" w:eastAsia="Times New Roman" w:hAnsiTheme="majorHAnsi" w:cs="Arial"/>
                <w:color w:val="000000"/>
                <w:sz w:val="20"/>
                <w:szCs w:val="20"/>
              </w:rPr>
              <w:t xml:space="preserve">If applicable, if the home you are purchasing or selling has a septic tank the lender will often want a Septic Certification. </w:t>
            </w:r>
          </w:p>
        </w:tc>
      </w:tr>
      <w:tr w:rsidR="00B63081" w14:paraId="3260DF86" w14:textId="77777777" w:rsidTr="00B63081">
        <w:tblPrEx>
          <w:shd w:val="clear" w:color="auto" w:fill="auto"/>
        </w:tblPrEx>
        <w:trPr>
          <w:gridBefore w:val="1"/>
          <w:wBefore w:w="6" w:type="dxa"/>
        </w:trPr>
        <w:tc>
          <w:tcPr>
            <w:tcW w:w="4983" w:type="dxa"/>
            <w:vAlign w:val="center"/>
          </w:tcPr>
          <w:p w14:paraId="66496033" w14:textId="2DF817A4" w:rsidR="00B63081" w:rsidRPr="00B63081" w:rsidRDefault="00B63081" w:rsidP="00B63081">
            <w:pPr>
              <w:pStyle w:val="ListParagraph"/>
              <w:numPr>
                <w:ilvl w:val="0"/>
                <w:numId w:val="6"/>
              </w:numPr>
              <w:ind w:left="361"/>
              <w:rPr>
                <w:rFonts w:asciiTheme="majorHAnsi" w:hAnsiTheme="majorHAnsi"/>
                <w:b/>
              </w:rPr>
            </w:pPr>
            <w:r w:rsidRPr="00B63081">
              <w:rPr>
                <w:rFonts w:asciiTheme="majorHAnsi" w:eastAsia="Times New Roman" w:hAnsiTheme="majorHAnsi" w:cs="Arial"/>
                <w:b/>
                <w:color w:val="000000"/>
              </w:rPr>
              <w:t>Well Certification</w:t>
            </w:r>
          </w:p>
        </w:tc>
        <w:tc>
          <w:tcPr>
            <w:tcW w:w="545" w:type="dxa"/>
            <w:vAlign w:val="center"/>
          </w:tcPr>
          <w:p w14:paraId="27FC7D50" w14:textId="0C4B75B6" w:rsidR="00B63081" w:rsidRPr="00B63081" w:rsidRDefault="00B63081" w:rsidP="00B63081">
            <w:pPr>
              <w:jc w:val="center"/>
              <w:rPr>
                <w:rFonts w:asciiTheme="majorHAnsi" w:hAnsiTheme="majorHAnsi"/>
                <w:sz w:val="20"/>
                <w:szCs w:val="20"/>
              </w:rPr>
            </w:pPr>
            <w:r w:rsidRPr="00B63081">
              <w:rPr>
                <w:rFonts w:asciiTheme="majorHAnsi" w:eastAsia="Times New Roman" w:hAnsiTheme="majorHAnsi" w:cs="Arial"/>
                <w:color w:val="000000"/>
                <w:sz w:val="20"/>
                <w:szCs w:val="20"/>
              </w:rPr>
              <w:t>IA</w:t>
            </w:r>
          </w:p>
        </w:tc>
        <w:tc>
          <w:tcPr>
            <w:tcW w:w="9089" w:type="dxa"/>
            <w:gridSpan w:val="2"/>
            <w:vAlign w:val="center"/>
          </w:tcPr>
          <w:p w14:paraId="1C603869" w14:textId="458F11BF" w:rsidR="00B63081" w:rsidRPr="00B63081" w:rsidRDefault="00B63081" w:rsidP="00B63081">
            <w:pPr>
              <w:rPr>
                <w:rFonts w:asciiTheme="majorHAnsi" w:hAnsiTheme="majorHAnsi"/>
                <w:sz w:val="20"/>
                <w:szCs w:val="20"/>
              </w:rPr>
            </w:pPr>
            <w:r w:rsidRPr="00B63081">
              <w:rPr>
                <w:rFonts w:asciiTheme="majorHAnsi" w:eastAsia="Times New Roman" w:hAnsiTheme="majorHAnsi" w:cs="Arial"/>
                <w:color w:val="000000"/>
                <w:sz w:val="20"/>
                <w:szCs w:val="20"/>
              </w:rPr>
              <w:t xml:space="preserve">If applicable, if the home you are purchasing or selling has a well the lender will often want a Well Certification. </w:t>
            </w:r>
          </w:p>
        </w:tc>
      </w:tr>
      <w:tr w:rsidR="00B63081" w14:paraId="6A98FA50" w14:textId="77777777" w:rsidTr="00B63081">
        <w:tblPrEx>
          <w:shd w:val="clear" w:color="auto" w:fill="auto"/>
        </w:tblPrEx>
        <w:trPr>
          <w:gridBefore w:val="1"/>
          <w:wBefore w:w="6" w:type="dxa"/>
        </w:trPr>
        <w:tc>
          <w:tcPr>
            <w:tcW w:w="4983" w:type="dxa"/>
            <w:vAlign w:val="center"/>
          </w:tcPr>
          <w:p w14:paraId="2F00A021" w14:textId="21AFCA4B" w:rsidR="00B63081" w:rsidRPr="00B63081" w:rsidRDefault="00B63081" w:rsidP="00B63081">
            <w:pPr>
              <w:pStyle w:val="ListParagraph"/>
              <w:numPr>
                <w:ilvl w:val="0"/>
                <w:numId w:val="6"/>
              </w:numPr>
              <w:ind w:left="361"/>
              <w:rPr>
                <w:rFonts w:asciiTheme="majorHAnsi" w:hAnsiTheme="majorHAnsi"/>
                <w:b/>
              </w:rPr>
            </w:pPr>
            <w:r w:rsidRPr="00B63081">
              <w:rPr>
                <w:rFonts w:asciiTheme="majorHAnsi" w:eastAsia="Times New Roman" w:hAnsiTheme="majorHAnsi" w:cs="Arial"/>
                <w:b/>
                <w:color w:val="000000"/>
              </w:rPr>
              <w:t>Sellers Statement of Repairs</w:t>
            </w:r>
          </w:p>
        </w:tc>
        <w:tc>
          <w:tcPr>
            <w:tcW w:w="545" w:type="dxa"/>
            <w:vAlign w:val="center"/>
          </w:tcPr>
          <w:p w14:paraId="460BEFF3" w14:textId="45EF6B88" w:rsidR="00B63081" w:rsidRPr="00B63081" w:rsidRDefault="00B63081" w:rsidP="00B63081">
            <w:pPr>
              <w:jc w:val="center"/>
              <w:rPr>
                <w:rFonts w:asciiTheme="majorHAnsi" w:hAnsiTheme="majorHAnsi"/>
                <w:sz w:val="20"/>
                <w:szCs w:val="20"/>
              </w:rPr>
            </w:pPr>
            <w:r w:rsidRPr="00B63081">
              <w:rPr>
                <w:rFonts w:asciiTheme="majorHAnsi" w:eastAsia="Times New Roman" w:hAnsiTheme="majorHAnsi" w:cs="Arial"/>
                <w:color w:val="000000"/>
                <w:sz w:val="20"/>
                <w:szCs w:val="20"/>
              </w:rPr>
              <w:t>IA</w:t>
            </w:r>
          </w:p>
        </w:tc>
        <w:tc>
          <w:tcPr>
            <w:tcW w:w="9089" w:type="dxa"/>
            <w:gridSpan w:val="2"/>
            <w:vAlign w:val="center"/>
          </w:tcPr>
          <w:p w14:paraId="53010E93" w14:textId="1CA8972B" w:rsidR="00B63081" w:rsidRPr="00B63081" w:rsidRDefault="00B63081" w:rsidP="00B63081">
            <w:pPr>
              <w:rPr>
                <w:rFonts w:asciiTheme="majorHAnsi" w:hAnsiTheme="majorHAnsi"/>
                <w:sz w:val="20"/>
                <w:szCs w:val="20"/>
              </w:rPr>
            </w:pPr>
            <w:r w:rsidRPr="00B63081">
              <w:rPr>
                <w:rFonts w:asciiTheme="majorHAnsi" w:eastAsia="Times New Roman" w:hAnsiTheme="majorHAnsi" w:cs="Arial"/>
                <w:color w:val="000000"/>
                <w:sz w:val="20"/>
                <w:szCs w:val="20"/>
              </w:rPr>
              <w:t>This is a local form that is not mandatory that is sometimes used in San Diego County. You may find local forms/reports that are common to specific areas.</w:t>
            </w:r>
          </w:p>
        </w:tc>
      </w:tr>
      <w:tr w:rsidR="00B63081" w14:paraId="3997281F" w14:textId="77777777" w:rsidTr="00B63081">
        <w:tblPrEx>
          <w:shd w:val="clear" w:color="auto" w:fill="auto"/>
        </w:tblPrEx>
        <w:trPr>
          <w:gridBefore w:val="1"/>
          <w:wBefore w:w="6" w:type="dxa"/>
        </w:trPr>
        <w:tc>
          <w:tcPr>
            <w:tcW w:w="4983" w:type="dxa"/>
            <w:vAlign w:val="center"/>
          </w:tcPr>
          <w:p w14:paraId="48F5AAE9" w14:textId="5954891E" w:rsidR="00B63081" w:rsidRPr="00B63081" w:rsidRDefault="00B63081" w:rsidP="00B63081">
            <w:pPr>
              <w:pStyle w:val="ListParagraph"/>
              <w:numPr>
                <w:ilvl w:val="0"/>
                <w:numId w:val="6"/>
              </w:numPr>
              <w:ind w:left="361"/>
              <w:rPr>
                <w:rFonts w:asciiTheme="majorHAnsi" w:hAnsiTheme="majorHAnsi"/>
                <w:b/>
              </w:rPr>
            </w:pPr>
            <w:r w:rsidRPr="00B63081">
              <w:rPr>
                <w:rFonts w:asciiTheme="majorHAnsi" w:eastAsia="Times New Roman" w:hAnsiTheme="majorHAnsi" w:cs="Arial"/>
                <w:b/>
                <w:color w:val="000000"/>
              </w:rPr>
              <w:t>Other__________________________</w:t>
            </w:r>
          </w:p>
        </w:tc>
        <w:tc>
          <w:tcPr>
            <w:tcW w:w="545" w:type="dxa"/>
            <w:vAlign w:val="center"/>
          </w:tcPr>
          <w:p w14:paraId="13AA7CF8" w14:textId="0CFD24E3" w:rsidR="00B63081" w:rsidRPr="00B63081" w:rsidRDefault="00B63081" w:rsidP="00B63081">
            <w:pPr>
              <w:jc w:val="center"/>
              <w:rPr>
                <w:rFonts w:asciiTheme="majorHAnsi" w:hAnsiTheme="majorHAnsi"/>
                <w:sz w:val="20"/>
                <w:szCs w:val="20"/>
              </w:rPr>
            </w:pPr>
            <w:r w:rsidRPr="00B63081">
              <w:rPr>
                <w:rFonts w:asciiTheme="majorHAnsi" w:eastAsia="Times New Roman" w:hAnsiTheme="majorHAnsi" w:cs="Arial"/>
                <w:color w:val="000000"/>
                <w:sz w:val="20"/>
                <w:szCs w:val="20"/>
              </w:rPr>
              <w:t>IA</w:t>
            </w:r>
          </w:p>
        </w:tc>
        <w:tc>
          <w:tcPr>
            <w:tcW w:w="9089" w:type="dxa"/>
            <w:gridSpan w:val="2"/>
            <w:vAlign w:val="center"/>
          </w:tcPr>
          <w:p w14:paraId="0E890525" w14:textId="468A54AF" w:rsidR="00B63081" w:rsidRPr="00B63081" w:rsidRDefault="00B63081" w:rsidP="00B63081">
            <w:pPr>
              <w:rPr>
                <w:rFonts w:asciiTheme="majorHAnsi" w:hAnsiTheme="majorHAnsi"/>
                <w:sz w:val="20"/>
                <w:szCs w:val="20"/>
              </w:rPr>
            </w:pPr>
          </w:p>
        </w:tc>
      </w:tr>
    </w:tbl>
    <w:p w14:paraId="79AB5023" w14:textId="77777777" w:rsidR="00B63081" w:rsidRPr="00A63B82" w:rsidRDefault="00B63081" w:rsidP="00B63081">
      <w:pPr>
        <w:rPr>
          <w:rFonts w:asciiTheme="majorHAnsi" w:eastAsia="Times New Roman" w:hAnsiTheme="majorHAnsi" w:cs="Times New Roman"/>
          <w:sz w:val="20"/>
          <w:szCs w:val="20"/>
        </w:rPr>
      </w:pPr>
      <w:r w:rsidRPr="00A63B82">
        <w:rPr>
          <w:rFonts w:asciiTheme="majorHAnsi" w:hAnsiTheme="majorHAnsi"/>
          <w:b/>
          <w:sz w:val="20"/>
          <w:szCs w:val="20"/>
        </w:rPr>
        <w:t>Note:</w:t>
      </w:r>
      <w:r w:rsidRPr="00A63B82">
        <w:rPr>
          <w:rFonts w:asciiTheme="majorHAnsi" w:hAnsiTheme="majorHAnsi"/>
          <w:sz w:val="20"/>
          <w:szCs w:val="20"/>
        </w:rPr>
        <w:t xml:space="preserve"> </w:t>
      </w:r>
      <w:r w:rsidRPr="00A63B82">
        <w:rPr>
          <w:rFonts w:asciiTheme="majorHAnsi" w:eastAsia="Times New Roman" w:hAnsiTheme="majorHAnsi" w:cs="Arial"/>
          <w:color w:val="000000"/>
          <w:sz w:val="20"/>
          <w:szCs w:val="20"/>
        </w:rPr>
        <w:t>You will want to modify this list depending on the transaction type and state you are closing in. Not all documents are required for every closing.</w:t>
      </w:r>
    </w:p>
    <w:p w14:paraId="3C2E42A1" w14:textId="77777777" w:rsidR="00B63081" w:rsidRDefault="00B63081" w:rsidP="00B63081">
      <w:pPr>
        <w:rPr>
          <w:rFonts w:asciiTheme="majorHAnsi" w:hAnsiTheme="majorHAnsi"/>
          <w:sz w:val="20"/>
          <w:szCs w:val="20"/>
        </w:rPr>
      </w:pPr>
      <w:r w:rsidRPr="00A63B82">
        <w:rPr>
          <w:rFonts w:asciiTheme="majorHAnsi" w:hAnsiTheme="majorHAnsi"/>
          <w:b/>
          <w:sz w:val="20"/>
          <w:szCs w:val="20"/>
        </w:rPr>
        <w:t>M</w:t>
      </w:r>
      <w:r w:rsidRPr="00A63B82">
        <w:rPr>
          <w:rFonts w:asciiTheme="majorHAnsi" w:hAnsiTheme="majorHAnsi"/>
          <w:sz w:val="20"/>
          <w:szCs w:val="20"/>
        </w:rPr>
        <w:t xml:space="preserve"> = Mandatory | </w:t>
      </w:r>
      <w:r w:rsidRPr="00A63B82">
        <w:rPr>
          <w:rFonts w:asciiTheme="majorHAnsi" w:hAnsiTheme="majorHAnsi"/>
          <w:b/>
          <w:sz w:val="20"/>
          <w:szCs w:val="20"/>
        </w:rPr>
        <w:t>IA</w:t>
      </w:r>
      <w:r w:rsidRPr="00A63B82">
        <w:rPr>
          <w:rFonts w:asciiTheme="majorHAnsi" w:hAnsiTheme="majorHAnsi"/>
          <w:sz w:val="20"/>
          <w:szCs w:val="20"/>
        </w:rPr>
        <w:t xml:space="preserve"> = If Applicable</w:t>
      </w:r>
    </w:p>
    <w:p w14:paraId="3090CB8B" w14:textId="77777777" w:rsidR="00985EFE" w:rsidRDefault="00985EFE" w:rsidP="00B63081">
      <w:pPr>
        <w:rPr>
          <w:rFonts w:asciiTheme="majorHAnsi" w:hAnsiTheme="majorHAnsi"/>
          <w:sz w:val="20"/>
          <w:szCs w:val="20"/>
        </w:rPr>
      </w:pPr>
    </w:p>
    <w:p w14:paraId="78A7F368" w14:textId="77777777" w:rsidR="00B63081" w:rsidRDefault="00B63081" w:rsidP="00A63B82"/>
    <w:tbl>
      <w:tblPr>
        <w:tblStyle w:val="TableGrid"/>
        <w:tblW w:w="0" w:type="auto"/>
        <w:tblInd w:w="-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00CCFF"/>
        <w:tblLook w:val="04A0" w:firstRow="1" w:lastRow="0" w:firstColumn="1" w:lastColumn="0" w:noHBand="0" w:noVBand="1"/>
      </w:tblPr>
      <w:tblGrid>
        <w:gridCol w:w="6"/>
        <w:gridCol w:w="4983"/>
        <w:gridCol w:w="9627"/>
        <w:gridCol w:w="7"/>
      </w:tblGrid>
      <w:tr w:rsidR="00B63081" w14:paraId="1620BC72" w14:textId="77777777" w:rsidTr="00CE56C0">
        <w:trPr>
          <w:gridAfter w:val="1"/>
          <w:wAfter w:w="7" w:type="dxa"/>
        </w:trPr>
        <w:tc>
          <w:tcPr>
            <w:tcW w:w="14616" w:type="dxa"/>
            <w:gridSpan w:val="3"/>
            <w:shd w:val="clear" w:color="auto" w:fill="164FB1"/>
          </w:tcPr>
          <w:p w14:paraId="3BA3CDF3" w14:textId="0299277B" w:rsidR="00B63081" w:rsidRPr="00FE6F50" w:rsidRDefault="00B63081" w:rsidP="00CE56C0">
            <w:pPr>
              <w:rPr>
                <w:rFonts w:asciiTheme="majorHAnsi" w:hAnsiTheme="majorHAnsi"/>
                <w:b/>
                <w:color w:val="FFFFFF" w:themeColor="background1"/>
                <w:sz w:val="32"/>
                <w:szCs w:val="32"/>
              </w:rPr>
            </w:pPr>
            <w:r>
              <w:rPr>
                <w:rFonts w:asciiTheme="majorHAnsi" w:hAnsiTheme="majorHAnsi"/>
                <w:b/>
                <w:bCs/>
                <w:color w:val="FFFFFF" w:themeColor="background1"/>
                <w:sz w:val="32"/>
                <w:szCs w:val="32"/>
              </w:rPr>
              <w:t>OTHER THINGS TO FILE</w:t>
            </w:r>
          </w:p>
        </w:tc>
      </w:tr>
      <w:tr w:rsidR="00B63081" w14:paraId="243E3F5F" w14:textId="77777777" w:rsidTr="00D00305">
        <w:tblPrEx>
          <w:shd w:val="clear" w:color="auto" w:fill="auto"/>
        </w:tblPrEx>
        <w:trPr>
          <w:gridBefore w:val="1"/>
          <w:wBefore w:w="6" w:type="dxa"/>
        </w:trPr>
        <w:tc>
          <w:tcPr>
            <w:tcW w:w="4983" w:type="dxa"/>
            <w:vAlign w:val="center"/>
          </w:tcPr>
          <w:p w14:paraId="00EA1ABD" w14:textId="33B9B33A" w:rsidR="00B63081" w:rsidRPr="00B63081" w:rsidRDefault="00B63081" w:rsidP="00B63081">
            <w:pPr>
              <w:pStyle w:val="ListParagraph"/>
              <w:numPr>
                <w:ilvl w:val="0"/>
                <w:numId w:val="6"/>
              </w:numPr>
              <w:ind w:left="361"/>
              <w:rPr>
                <w:rFonts w:asciiTheme="majorHAnsi" w:hAnsiTheme="majorHAnsi"/>
                <w:b/>
              </w:rPr>
            </w:pPr>
            <w:r w:rsidRPr="00B63081">
              <w:rPr>
                <w:rFonts w:asciiTheme="majorHAnsi" w:eastAsia="Times New Roman" w:hAnsiTheme="majorHAnsi" w:cs="Arial"/>
                <w:b/>
                <w:color w:val="000000"/>
              </w:rPr>
              <w:t>Copy of MLS Listing Sheet</w:t>
            </w:r>
          </w:p>
        </w:tc>
        <w:tc>
          <w:tcPr>
            <w:tcW w:w="9634" w:type="dxa"/>
            <w:gridSpan w:val="2"/>
            <w:vAlign w:val="center"/>
          </w:tcPr>
          <w:p w14:paraId="029B8B5E" w14:textId="1BAA13F9" w:rsidR="00B63081" w:rsidRPr="00B63081" w:rsidRDefault="00B63081" w:rsidP="00B63081">
            <w:pPr>
              <w:rPr>
                <w:rFonts w:asciiTheme="majorHAnsi" w:eastAsia="Times New Roman" w:hAnsiTheme="majorHAnsi" w:cs="Arial"/>
                <w:color w:val="000000"/>
                <w:sz w:val="20"/>
                <w:szCs w:val="20"/>
              </w:rPr>
            </w:pPr>
            <w:r w:rsidRPr="00B63081">
              <w:rPr>
                <w:rFonts w:asciiTheme="majorHAnsi" w:eastAsia="Times New Roman" w:hAnsiTheme="majorHAnsi" w:cs="Arial"/>
                <w:color w:val="000000"/>
                <w:sz w:val="20"/>
                <w:szCs w:val="20"/>
              </w:rPr>
              <w:t>Agents are required to input the listing into the MLS right away. We like to see a printout of the MLS Listing sheet so we can verify the accuracy of the information and make sure the property is active on the MLS.</w:t>
            </w:r>
          </w:p>
        </w:tc>
      </w:tr>
    </w:tbl>
    <w:p w14:paraId="5E31E825" w14:textId="77777777" w:rsidR="00B63081" w:rsidRDefault="00B63081" w:rsidP="00A63B82"/>
    <w:sectPr w:rsidR="00B63081" w:rsidSect="00457A9E">
      <w:headerReference w:type="default" r:id="rId9"/>
      <w:footerReference w:type="even" r:id="rId10"/>
      <w:footerReference w:type="default" r:id="rId11"/>
      <w:pgSz w:w="15840" w:h="12240" w:orient="landscape"/>
      <w:pgMar w:top="720" w:right="720" w:bottom="720" w:left="720" w:header="360" w:footer="288"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5BF8DE2" w14:textId="77777777" w:rsidR="00A63B82" w:rsidRDefault="00A63B82" w:rsidP="00D371A0">
      <w:r>
        <w:separator/>
      </w:r>
    </w:p>
  </w:endnote>
  <w:endnote w:type="continuationSeparator" w:id="0">
    <w:p w14:paraId="5A8D4DD6" w14:textId="77777777" w:rsidR="00A63B82" w:rsidRDefault="00A63B82" w:rsidP="00D371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480C35" w14:textId="77777777" w:rsidR="00A63B82" w:rsidRDefault="00A63B82" w:rsidP="00B1086E">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end"/>
    </w:r>
  </w:p>
  <w:p w14:paraId="61091389" w14:textId="77777777" w:rsidR="00A63B82" w:rsidRDefault="002457D3" w:rsidP="00B1086E">
    <w:pPr>
      <w:pStyle w:val="Footer"/>
      <w:ind w:firstLine="360"/>
    </w:pPr>
    <w:sdt>
      <w:sdtPr>
        <w:id w:val="969400743"/>
        <w:placeholder>
          <w:docPart w:val="ADA0B387921DA1408959BD9D57B1BA92"/>
        </w:placeholder>
        <w:temporary/>
        <w:showingPlcHdr/>
      </w:sdtPr>
      <w:sdtEndPr/>
      <w:sdtContent>
        <w:r w:rsidR="00A63B82">
          <w:t>[Type text]</w:t>
        </w:r>
      </w:sdtContent>
    </w:sdt>
    <w:r w:rsidR="00A63B82">
      <w:ptab w:relativeTo="margin" w:alignment="center" w:leader="none"/>
    </w:r>
    <w:sdt>
      <w:sdtPr>
        <w:id w:val="969400748"/>
        <w:placeholder>
          <w:docPart w:val="4FE8575817770045825C9F54BCDB7329"/>
        </w:placeholder>
        <w:temporary/>
        <w:showingPlcHdr/>
      </w:sdtPr>
      <w:sdtEndPr/>
      <w:sdtContent>
        <w:r w:rsidR="00A63B82">
          <w:t>[Type text]</w:t>
        </w:r>
      </w:sdtContent>
    </w:sdt>
    <w:r w:rsidR="00A63B82">
      <w:ptab w:relativeTo="margin" w:alignment="right" w:leader="none"/>
    </w:r>
    <w:sdt>
      <w:sdtPr>
        <w:id w:val="969400753"/>
        <w:placeholder>
          <w:docPart w:val="BD3BD8A63C0CE446850C4F87ACF6219B"/>
        </w:placeholder>
        <w:temporary/>
        <w:showingPlcHdr/>
      </w:sdtPr>
      <w:sdtEndPr/>
      <w:sdtContent>
        <w:r w:rsidR="00A63B82">
          <w:t>[Type text]</w:t>
        </w:r>
      </w:sdtContent>
    </w:sdt>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FF0140" w14:textId="351B0E1C" w:rsidR="00A63B82" w:rsidRPr="00B1086E" w:rsidRDefault="00A63B82" w:rsidP="00B1086E">
    <w:pPr>
      <w:pStyle w:val="Footer"/>
      <w:ind w:firstLine="360"/>
      <w:rPr>
        <w:color w:val="808080" w:themeColor="background1" w:themeShade="80"/>
        <w:sz w:val="16"/>
        <w:szCs w:val="16"/>
      </w:rPr>
    </w:pPr>
    <w:r w:rsidRPr="00B1086E">
      <w:rPr>
        <w:color w:val="808080" w:themeColor="background1" w:themeShade="80"/>
        <w:sz w:val="16"/>
        <w:szCs w:val="16"/>
      </w:rPr>
      <w:ptab w:relativeTo="margin" w:alignment="center" w:leader="none"/>
    </w:r>
    <w:r w:rsidRPr="00B1086E">
      <w:rPr>
        <w:color w:val="808080" w:themeColor="background1" w:themeShade="80"/>
        <w:sz w:val="16"/>
        <w:szCs w:val="16"/>
      </w:rPr>
      <w:ptab w:relativeTo="margin" w:alignment="right" w:leader="none"/>
    </w:r>
    <w:proofErr w:type="gramStart"/>
    <w:r w:rsidRPr="00B1086E">
      <w:rPr>
        <w:color w:val="808080" w:themeColor="background1" w:themeShade="80"/>
        <w:sz w:val="16"/>
        <w:szCs w:val="16"/>
      </w:rPr>
      <w:t>v1.0</w:t>
    </w:r>
    <w:proofErr w:type="gramEnd"/>
    <w:r w:rsidRPr="00B1086E">
      <w:rPr>
        <w:color w:val="808080" w:themeColor="background1" w:themeShade="80"/>
        <w:sz w:val="16"/>
        <w:szCs w:val="16"/>
      </w:rPr>
      <w:t xml:space="preserve"> r0</w:t>
    </w:r>
    <w:r>
      <w:rPr>
        <w:color w:val="808080" w:themeColor="background1" w:themeShade="80"/>
        <w:sz w:val="16"/>
        <w:szCs w:val="16"/>
      </w:rPr>
      <w:t>9</w:t>
    </w:r>
    <w:r w:rsidRPr="00B1086E">
      <w:rPr>
        <w:color w:val="808080" w:themeColor="background1" w:themeShade="80"/>
        <w:sz w:val="16"/>
        <w:szCs w:val="16"/>
      </w:rPr>
      <w:t>0</w:t>
    </w:r>
    <w:r>
      <w:rPr>
        <w:color w:val="808080" w:themeColor="background1" w:themeShade="80"/>
        <w:sz w:val="16"/>
        <w:szCs w:val="16"/>
      </w:rPr>
      <w:t>1</w:t>
    </w:r>
    <w:r w:rsidRPr="00B1086E">
      <w:rPr>
        <w:color w:val="808080" w:themeColor="background1" w:themeShade="80"/>
        <w:sz w:val="16"/>
        <w:szCs w:val="16"/>
      </w:rPr>
      <w:t>2015</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60C7D7A" w14:textId="77777777" w:rsidR="00A63B82" w:rsidRDefault="00A63B82" w:rsidP="00D371A0">
      <w:r>
        <w:separator/>
      </w:r>
    </w:p>
  </w:footnote>
  <w:footnote w:type="continuationSeparator" w:id="0">
    <w:p w14:paraId="438A8758" w14:textId="77777777" w:rsidR="00A63B82" w:rsidRDefault="00A63B82" w:rsidP="00D371A0">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080"/>
      <w:gridCol w:w="4320"/>
    </w:tblGrid>
    <w:tr w:rsidR="00A63B82" w14:paraId="5BA3578F" w14:textId="77777777" w:rsidTr="006719EF">
      <w:tc>
        <w:tcPr>
          <w:tcW w:w="10080" w:type="dxa"/>
          <w:vAlign w:val="center"/>
        </w:tcPr>
        <w:p w14:paraId="03DBD166" w14:textId="602662FF" w:rsidR="00A63B82" w:rsidRPr="00EC5C97" w:rsidRDefault="00A63B82" w:rsidP="002457D3">
          <w:pPr>
            <w:pStyle w:val="Header"/>
            <w:rPr>
              <w:rFonts w:asciiTheme="majorHAnsi" w:hAnsiTheme="majorHAnsi"/>
              <w:b/>
              <w:bCs/>
              <w:sz w:val="52"/>
              <w:szCs w:val="52"/>
            </w:rPr>
          </w:pPr>
          <w:r w:rsidRPr="00732D0A">
            <w:rPr>
              <w:rFonts w:asciiTheme="majorHAnsi" w:hAnsiTheme="majorHAnsi"/>
              <w:b/>
              <w:bCs/>
              <w:sz w:val="52"/>
              <w:szCs w:val="52"/>
            </w:rPr>
            <w:t>Contracts, Disclosures &amp; Reports Checklist</w:t>
          </w:r>
        </w:p>
      </w:tc>
      <w:tc>
        <w:tcPr>
          <w:tcW w:w="4320" w:type="dxa"/>
        </w:tcPr>
        <w:p w14:paraId="22FCE9D5" w14:textId="77777777" w:rsidR="00A63B82" w:rsidRDefault="00A63B82" w:rsidP="00D371A0">
          <w:pPr>
            <w:pStyle w:val="Header"/>
            <w:jc w:val="right"/>
          </w:pPr>
          <w:r>
            <w:rPr>
              <w:noProof/>
            </w:rPr>
            <w:drawing>
              <wp:inline distT="0" distB="0" distL="0" distR="0" wp14:anchorId="459B6F83" wp14:editId="7711DB50">
                <wp:extent cx="2159000" cy="678097"/>
                <wp:effectExtent l="0" t="0" r="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 FB.jpg"/>
                        <pic:cNvPicPr/>
                      </pic:nvPicPr>
                      <pic:blipFill>
                        <a:blip r:embed="rId1">
                          <a:extLst>
                            <a:ext uri="{28A0092B-C50C-407E-A947-70E740481C1C}">
                              <a14:useLocalDpi xmlns:a14="http://schemas.microsoft.com/office/drawing/2010/main" val="0"/>
                            </a:ext>
                          </a:extLst>
                        </a:blip>
                        <a:stretch>
                          <a:fillRect/>
                        </a:stretch>
                      </pic:blipFill>
                      <pic:spPr>
                        <a:xfrm>
                          <a:off x="0" y="0"/>
                          <a:ext cx="2159000" cy="678097"/>
                        </a:xfrm>
                        <a:prstGeom prst="rect">
                          <a:avLst/>
                        </a:prstGeom>
                      </pic:spPr>
                    </pic:pic>
                  </a:graphicData>
                </a:graphic>
              </wp:inline>
            </w:drawing>
          </w:r>
        </w:p>
      </w:tc>
    </w:tr>
  </w:tbl>
  <w:p w14:paraId="2462F838" w14:textId="77777777" w:rsidR="00A63B82" w:rsidRDefault="00A63B82">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D558D3"/>
    <w:multiLevelType w:val="hybridMultilevel"/>
    <w:tmpl w:val="BE2073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A9E33B1"/>
    <w:multiLevelType w:val="hybridMultilevel"/>
    <w:tmpl w:val="8C2ABAB0"/>
    <w:lvl w:ilvl="0" w:tplc="D83879B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BF47D0D"/>
    <w:multiLevelType w:val="hybridMultilevel"/>
    <w:tmpl w:val="4C94458C"/>
    <w:lvl w:ilvl="0" w:tplc="D83879B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89B2EBB"/>
    <w:multiLevelType w:val="multilevel"/>
    <w:tmpl w:val="4C94458C"/>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
    <w:nsid w:val="69CC0383"/>
    <w:multiLevelType w:val="hybridMultilevel"/>
    <w:tmpl w:val="CD8E756A"/>
    <w:lvl w:ilvl="0" w:tplc="48B843AC">
      <w:start w:val="1"/>
      <w:numFmt w:val="bullet"/>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BFF71E4"/>
    <w:multiLevelType w:val="hybridMultilevel"/>
    <w:tmpl w:val="CF186EBC"/>
    <w:lvl w:ilvl="0" w:tplc="D83879B6">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2"/>
  </w:num>
  <w:num w:numId="3">
    <w:abstractNumId w:val="3"/>
  </w:num>
  <w:num w:numId="4">
    <w:abstractNumId w:val="4"/>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savePreviewPicture/>
  <w:hdrShapeDefaults>
    <o:shapedefaults v:ext="edit" spidmax="205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71A0"/>
    <w:rsid w:val="000B3B25"/>
    <w:rsid w:val="000C25B4"/>
    <w:rsid w:val="002457D3"/>
    <w:rsid w:val="00457A9E"/>
    <w:rsid w:val="006719EF"/>
    <w:rsid w:val="00732D0A"/>
    <w:rsid w:val="00985EFE"/>
    <w:rsid w:val="00A63B82"/>
    <w:rsid w:val="00B1086E"/>
    <w:rsid w:val="00B63081"/>
    <w:rsid w:val="00C14FB7"/>
    <w:rsid w:val="00C1660B"/>
    <w:rsid w:val="00C37DA2"/>
    <w:rsid w:val="00D22A8E"/>
    <w:rsid w:val="00D371A0"/>
    <w:rsid w:val="00DB6300"/>
    <w:rsid w:val="00DE25AD"/>
    <w:rsid w:val="00EC58F4"/>
    <w:rsid w:val="00EC5C97"/>
    <w:rsid w:val="00F2341E"/>
    <w:rsid w:val="00FE6F50"/>
    <w:rsid w:val="00FF3E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2"/>
    </o:shapelayout>
  </w:shapeDefaults>
  <w:decimalSymbol w:val="."/>
  <w:listSeparator w:val=","/>
  <w14:docId w14:val="3997FC9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371A0"/>
    <w:pPr>
      <w:tabs>
        <w:tab w:val="center" w:pos="4320"/>
        <w:tab w:val="right" w:pos="8640"/>
      </w:tabs>
    </w:pPr>
  </w:style>
  <w:style w:type="character" w:customStyle="1" w:styleId="HeaderChar">
    <w:name w:val="Header Char"/>
    <w:basedOn w:val="DefaultParagraphFont"/>
    <w:link w:val="Header"/>
    <w:uiPriority w:val="99"/>
    <w:rsid w:val="00D371A0"/>
  </w:style>
  <w:style w:type="paragraph" w:styleId="Footer">
    <w:name w:val="footer"/>
    <w:basedOn w:val="Normal"/>
    <w:link w:val="FooterChar"/>
    <w:uiPriority w:val="99"/>
    <w:unhideWhenUsed/>
    <w:rsid w:val="00D371A0"/>
    <w:pPr>
      <w:tabs>
        <w:tab w:val="center" w:pos="4320"/>
        <w:tab w:val="right" w:pos="8640"/>
      </w:tabs>
    </w:pPr>
  </w:style>
  <w:style w:type="character" w:customStyle="1" w:styleId="FooterChar">
    <w:name w:val="Footer Char"/>
    <w:basedOn w:val="DefaultParagraphFont"/>
    <w:link w:val="Footer"/>
    <w:uiPriority w:val="99"/>
    <w:rsid w:val="00D371A0"/>
  </w:style>
  <w:style w:type="table" w:styleId="TableGrid">
    <w:name w:val="Table Grid"/>
    <w:basedOn w:val="TableNormal"/>
    <w:uiPriority w:val="59"/>
    <w:rsid w:val="00D371A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D371A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371A0"/>
    <w:rPr>
      <w:rFonts w:ascii="Lucida Grande" w:hAnsi="Lucida Grande" w:cs="Lucida Grande"/>
      <w:sz w:val="18"/>
      <w:szCs w:val="18"/>
    </w:rPr>
  </w:style>
  <w:style w:type="paragraph" w:styleId="ListParagraph">
    <w:name w:val="List Paragraph"/>
    <w:basedOn w:val="Normal"/>
    <w:uiPriority w:val="34"/>
    <w:qFormat/>
    <w:rsid w:val="00D371A0"/>
    <w:pPr>
      <w:ind w:left="720"/>
      <w:contextualSpacing/>
    </w:pPr>
  </w:style>
  <w:style w:type="character" w:styleId="PageNumber">
    <w:name w:val="page number"/>
    <w:basedOn w:val="DefaultParagraphFont"/>
    <w:uiPriority w:val="99"/>
    <w:semiHidden/>
    <w:unhideWhenUsed/>
    <w:rsid w:val="00FE6F50"/>
  </w:style>
  <w:style w:type="character" w:styleId="Hyperlink">
    <w:name w:val="Hyperlink"/>
    <w:basedOn w:val="DefaultParagraphFont"/>
    <w:uiPriority w:val="99"/>
    <w:unhideWhenUsed/>
    <w:rsid w:val="00DB6300"/>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371A0"/>
    <w:pPr>
      <w:tabs>
        <w:tab w:val="center" w:pos="4320"/>
        <w:tab w:val="right" w:pos="8640"/>
      </w:tabs>
    </w:pPr>
  </w:style>
  <w:style w:type="character" w:customStyle="1" w:styleId="HeaderChar">
    <w:name w:val="Header Char"/>
    <w:basedOn w:val="DefaultParagraphFont"/>
    <w:link w:val="Header"/>
    <w:uiPriority w:val="99"/>
    <w:rsid w:val="00D371A0"/>
  </w:style>
  <w:style w:type="paragraph" w:styleId="Footer">
    <w:name w:val="footer"/>
    <w:basedOn w:val="Normal"/>
    <w:link w:val="FooterChar"/>
    <w:uiPriority w:val="99"/>
    <w:unhideWhenUsed/>
    <w:rsid w:val="00D371A0"/>
    <w:pPr>
      <w:tabs>
        <w:tab w:val="center" w:pos="4320"/>
        <w:tab w:val="right" w:pos="8640"/>
      </w:tabs>
    </w:pPr>
  </w:style>
  <w:style w:type="character" w:customStyle="1" w:styleId="FooterChar">
    <w:name w:val="Footer Char"/>
    <w:basedOn w:val="DefaultParagraphFont"/>
    <w:link w:val="Footer"/>
    <w:uiPriority w:val="99"/>
    <w:rsid w:val="00D371A0"/>
  </w:style>
  <w:style w:type="table" w:styleId="TableGrid">
    <w:name w:val="Table Grid"/>
    <w:basedOn w:val="TableNormal"/>
    <w:uiPriority w:val="59"/>
    <w:rsid w:val="00D371A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D371A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371A0"/>
    <w:rPr>
      <w:rFonts w:ascii="Lucida Grande" w:hAnsi="Lucida Grande" w:cs="Lucida Grande"/>
      <w:sz w:val="18"/>
      <w:szCs w:val="18"/>
    </w:rPr>
  </w:style>
  <w:style w:type="paragraph" w:styleId="ListParagraph">
    <w:name w:val="List Paragraph"/>
    <w:basedOn w:val="Normal"/>
    <w:uiPriority w:val="34"/>
    <w:qFormat/>
    <w:rsid w:val="00D371A0"/>
    <w:pPr>
      <w:ind w:left="720"/>
      <w:contextualSpacing/>
    </w:pPr>
  </w:style>
  <w:style w:type="character" w:styleId="PageNumber">
    <w:name w:val="page number"/>
    <w:basedOn w:val="DefaultParagraphFont"/>
    <w:uiPriority w:val="99"/>
    <w:semiHidden/>
    <w:unhideWhenUsed/>
    <w:rsid w:val="00FE6F50"/>
  </w:style>
  <w:style w:type="character" w:styleId="Hyperlink">
    <w:name w:val="Hyperlink"/>
    <w:basedOn w:val="DefaultParagraphFont"/>
    <w:uiPriority w:val="99"/>
    <w:unhideWhenUsed/>
    <w:rsid w:val="00DB630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926479">
      <w:bodyDiv w:val="1"/>
      <w:marLeft w:val="0"/>
      <w:marRight w:val="0"/>
      <w:marTop w:val="0"/>
      <w:marBottom w:val="0"/>
      <w:divBdr>
        <w:top w:val="none" w:sz="0" w:space="0" w:color="auto"/>
        <w:left w:val="none" w:sz="0" w:space="0" w:color="auto"/>
        <w:bottom w:val="none" w:sz="0" w:space="0" w:color="auto"/>
        <w:right w:val="none" w:sz="0" w:space="0" w:color="auto"/>
      </w:divBdr>
    </w:div>
    <w:div w:id="395709136">
      <w:bodyDiv w:val="1"/>
      <w:marLeft w:val="0"/>
      <w:marRight w:val="0"/>
      <w:marTop w:val="0"/>
      <w:marBottom w:val="0"/>
      <w:divBdr>
        <w:top w:val="none" w:sz="0" w:space="0" w:color="auto"/>
        <w:left w:val="none" w:sz="0" w:space="0" w:color="auto"/>
        <w:bottom w:val="none" w:sz="0" w:space="0" w:color="auto"/>
        <w:right w:val="none" w:sz="0" w:space="0" w:color="auto"/>
      </w:divBdr>
    </w:div>
    <w:div w:id="577254784">
      <w:bodyDiv w:val="1"/>
      <w:marLeft w:val="0"/>
      <w:marRight w:val="0"/>
      <w:marTop w:val="0"/>
      <w:marBottom w:val="0"/>
      <w:divBdr>
        <w:top w:val="none" w:sz="0" w:space="0" w:color="auto"/>
        <w:left w:val="none" w:sz="0" w:space="0" w:color="auto"/>
        <w:bottom w:val="none" w:sz="0" w:space="0" w:color="auto"/>
        <w:right w:val="none" w:sz="0" w:space="0" w:color="auto"/>
      </w:divBdr>
    </w:div>
    <w:div w:id="748428435">
      <w:bodyDiv w:val="1"/>
      <w:marLeft w:val="0"/>
      <w:marRight w:val="0"/>
      <w:marTop w:val="0"/>
      <w:marBottom w:val="0"/>
      <w:divBdr>
        <w:top w:val="none" w:sz="0" w:space="0" w:color="auto"/>
        <w:left w:val="none" w:sz="0" w:space="0" w:color="auto"/>
        <w:bottom w:val="none" w:sz="0" w:space="0" w:color="auto"/>
        <w:right w:val="none" w:sz="0" w:space="0" w:color="auto"/>
      </w:divBdr>
    </w:div>
    <w:div w:id="846361318">
      <w:bodyDiv w:val="1"/>
      <w:marLeft w:val="0"/>
      <w:marRight w:val="0"/>
      <w:marTop w:val="0"/>
      <w:marBottom w:val="0"/>
      <w:divBdr>
        <w:top w:val="none" w:sz="0" w:space="0" w:color="auto"/>
        <w:left w:val="none" w:sz="0" w:space="0" w:color="auto"/>
        <w:bottom w:val="none" w:sz="0" w:space="0" w:color="auto"/>
        <w:right w:val="none" w:sz="0" w:space="0" w:color="auto"/>
      </w:divBdr>
    </w:div>
    <w:div w:id="1152018002">
      <w:bodyDiv w:val="1"/>
      <w:marLeft w:val="0"/>
      <w:marRight w:val="0"/>
      <w:marTop w:val="0"/>
      <w:marBottom w:val="0"/>
      <w:divBdr>
        <w:top w:val="none" w:sz="0" w:space="0" w:color="auto"/>
        <w:left w:val="none" w:sz="0" w:space="0" w:color="auto"/>
        <w:bottom w:val="none" w:sz="0" w:space="0" w:color="auto"/>
        <w:right w:val="none" w:sz="0" w:space="0" w:color="auto"/>
      </w:divBdr>
    </w:div>
    <w:div w:id="1281836403">
      <w:bodyDiv w:val="1"/>
      <w:marLeft w:val="0"/>
      <w:marRight w:val="0"/>
      <w:marTop w:val="0"/>
      <w:marBottom w:val="0"/>
      <w:divBdr>
        <w:top w:val="none" w:sz="0" w:space="0" w:color="auto"/>
        <w:left w:val="none" w:sz="0" w:space="0" w:color="auto"/>
        <w:bottom w:val="none" w:sz="0" w:space="0" w:color="auto"/>
        <w:right w:val="none" w:sz="0" w:space="0" w:color="auto"/>
      </w:divBdr>
    </w:div>
    <w:div w:id="1513035098">
      <w:bodyDiv w:val="1"/>
      <w:marLeft w:val="0"/>
      <w:marRight w:val="0"/>
      <w:marTop w:val="0"/>
      <w:marBottom w:val="0"/>
      <w:divBdr>
        <w:top w:val="none" w:sz="0" w:space="0" w:color="auto"/>
        <w:left w:val="none" w:sz="0" w:space="0" w:color="auto"/>
        <w:bottom w:val="none" w:sz="0" w:space="0" w:color="auto"/>
        <w:right w:val="none" w:sz="0" w:space="0" w:color="auto"/>
      </w:divBdr>
    </w:div>
    <w:div w:id="1764061250">
      <w:bodyDiv w:val="1"/>
      <w:marLeft w:val="0"/>
      <w:marRight w:val="0"/>
      <w:marTop w:val="0"/>
      <w:marBottom w:val="0"/>
      <w:divBdr>
        <w:top w:val="none" w:sz="0" w:space="0" w:color="auto"/>
        <w:left w:val="none" w:sz="0" w:space="0" w:color="auto"/>
        <w:bottom w:val="none" w:sz="0" w:space="0" w:color="auto"/>
        <w:right w:val="none" w:sz="0" w:space="0" w:color="auto"/>
      </w:divBdr>
    </w:div>
    <w:div w:id="1785494162">
      <w:bodyDiv w:val="1"/>
      <w:marLeft w:val="0"/>
      <w:marRight w:val="0"/>
      <w:marTop w:val="0"/>
      <w:marBottom w:val="0"/>
      <w:divBdr>
        <w:top w:val="none" w:sz="0" w:space="0" w:color="auto"/>
        <w:left w:val="none" w:sz="0" w:space="0" w:color="auto"/>
        <w:bottom w:val="none" w:sz="0" w:space="0" w:color="auto"/>
        <w:right w:val="none" w:sz="0" w:space="0" w:color="auto"/>
      </w:divBdr>
    </w:div>
    <w:div w:id="195408903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fontTable" Target="fontTable.xml"/><Relationship Id="rId13" Type="http://schemas.openxmlformats.org/officeDocument/2006/relationships/glossaryDocument" Target="glossary/document.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ADA0B387921DA1408959BD9D57B1BA92"/>
        <w:category>
          <w:name w:val="General"/>
          <w:gallery w:val="placeholder"/>
        </w:category>
        <w:types>
          <w:type w:val="bbPlcHdr"/>
        </w:types>
        <w:behaviors>
          <w:behavior w:val="content"/>
        </w:behaviors>
        <w:guid w:val="{E0E697FC-1F9D-2645-B40C-7E7573908F86}"/>
      </w:docPartPr>
      <w:docPartBody>
        <w:p w:rsidR="00EC23C4" w:rsidRDefault="00EC23C4" w:rsidP="00EC23C4">
          <w:pPr>
            <w:pStyle w:val="ADA0B387921DA1408959BD9D57B1BA92"/>
          </w:pPr>
          <w:r>
            <w:t>[Type text]</w:t>
          </w:r>
        </w:p>
      </w:docPartBody>
    </w:docPart>
    <w:docPart>
      <w:docPartPr>
        <w:name w:val="4FE8575817770045825C9F54BCDB7329"/>
        <w:category>
          <w:name w:val="General"/>
          <w:gallery w:val="placeholder"/>
        </w:category>
        <w:types>
          <w:type w:val="bbPlcHdr"/>
        </w:types>
        <w:behaviors>
          <w:behavior w:val="content"/>
        </w:behaviors>
        <w:guid w:val="{3180A5F2-E698-3149-9659-8120D0B9F643}"/>
      </w:docPartPr>
      <w:docPartBody>
        <w:p w:rsidR="00EC23C4" w:rsidRDefault="00EC23C4" w:rsidP="00EC23C4">
          <w:pPr>
            <w:pStyle w:val="4FE8575817770045825C9F54BCDB7329"/>
          </w:pPr>
          <w:r>
            <w:t>[Type text]</w:t>
          </w:r>
        </w:p>
      </w:docPartBody>
    </w:docPart>
    <w:docPart>
      <w:docPartPr>
        <w:name w:val="BD3BD8A63C0CE446850C4F87ACF6219B"/>
        <w:category>
          <w:name w:val="General"/>
          <w:gallery w:val="placeholder"/>
        </w:category>
        <w:types>
          <w:type w:val="bbPlcHdr"/>
        </w:types>
        <w:behaviors>
          <w:behavior w:val="content"/>
        </w:behaviors>
        <w:guid w:val="{B35A0A53-EEF8-594E-9677-6B7CCAE4A135}"/>
      </w:docPartPr>
      <w:docPartBody>
        <w:p w:rsidR="00EC23C4" w:rsidRDefault="00EC23C4" w:rsidP="00EC23C4">
          <w:pPr>
            <w:pStyle w:val="BD3BD8A63C0CE446850C4F87ACF6219B"/>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23C4"/>
    <w:rsid w:val="008177FB"/>
    <w:rsid w:val="00EC23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DA0B387921DA1408959BD9D57B1BA92">
    <w:name w:val="ADA0B387921DA1408959BD9D57B1BA92"/>
    <w:rsid w:val="00EC23C4"/>
  </w:style>
  <w:style w:type="paragraph" w:customStyle="1" w:styleId="4FE8575817770045825C9F54BCDB7329">
    <w:name w:val="4FE8575817770045825C9F54BCDB7329"/>
    <w:rsid w:val="00EC23C4"/>
  </w:style>
  <w:style w:type="paragraph" w:customStyle="1" w:styleId="BD3BD8A63C0CE446850C4F87ACF6219B">
    <w:name w:val="BD3BD8A63C0CE446850C4F87ACF6219B"/>
    <w:rsid w:val="00EC23C4"/>
  </w:style>
  <w:style w:type="paragraph" w:customStyle="1" w:styleId="0FE1110FADAB9D4BA7764420357B72D9">
    <w:name w:val="0FE1110FADAB9D4BA7764420357B72D9"/>
    <w:rsid w:val="00EC23C4"/>
  </w:style>
  <w:style w:type="paragraph" w:customStyle="1" w:styleId="25192BA0E036C94BA87845BF63DCFA37">
    <w:name w:val="25192BA0E036C94BA87845BF63DCFA37"/>
    <w:rsid w:val="00EC23C4"/>
  </w:style>
  <w:style w:type="paragraph" w:customStyle="1" w:styleId="D4C26E5096A1AE488EB95F2D6C7B0A0E">
    <w:name w:val="D4C26E5096A1AE488EB95F2D6C7B0A0E"/>
    <w:rsid w:val="00EC23C4"/>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DA0B387921DA1408959BD9D57B1BA92">
    <w:name w:val="ADA0B387921DA1408959BD9D57B1BA92"/>
    <w:rsid w:val="00EC23C4"/>
  </w:style>
  <w:style w:type="paragraph" w:customStyle="1" w:styleId="4FE8575817770045825C9F54BCDB7329">
    <w:name w:val="4FE8575817770045825C9F54BCDB7329"/>
    <w:rsid w:val="00EC23C4"/>
  </w:style>
  <w:style w:type="paragraph" w:customStyle="1" w:styleId="BD3BD8A63C0CE446850C4F87ACF6219B">
    <w:name w:val="BD3BD8A63C0CE446850C4F87ACF6219B"/>
    <w:rsid w:val="00EC23C4"/>
  </w:style>
  <w:style w:type="paragraph" w:customStyle="1" w:styleId="0FE1110FADAB9D4BA7764420357B72D9">
    <w:name w:val="0FE1110FADAB9D4BA7764420357B72D9"/>
    <w:rsid w:val="00EC23C4"/>
  </w:style>
  <w:style w:type="paragraph" w:customStyle="1" w:styleId="25192BA0E036C94BA87845BF63DCFA37">
    <w:name w:val="25192BA0E036C94BA87845BF63DCFA37"/>
    <w:rsid w:val="00EC23C4"/>
  </w:style>
  <w:style w:type="paragraph" w:customStyle="1" w:styleId="D4C26E5096A1AE488EB95F2D6C7B0A0E">
    <w:name w:val="D4C26E5096A1AE488EB95F2D6C7B0A0E"/>
    <w:rsid w:val="00EC23C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2610C5-3A5E-084A-9F42-EF9D810E3C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6</Pages>
  <Words>3115</Words>
  <Characters>17757</Characters>
  <Application>Microsoft Macintosh Word</Application>
  <DocSecurity>0</DocSecurity>
  <Lines>147</Lines>
  <Paragraphs>41</Paragraphs>
  <ScaleCrop>false</ScaleCrop>
  <Company>Aileron Marketing</Company>
  <LinksUpToDate>false</LinksUpToDate>
  <CharactersWithSpaces>20831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Jonnes</dc:creator>
  <cp:keywords/>
  <dc:description/>
  <cp:lastModifiedBy>Peter Jonnes</cp:lastModifiedBy>
  <cp:revision>6</cp:revision>
  <cp:lastPrinted>2015-09-02T20:49:00Z</cp:lastPrinted>
  <dcterms:created xsi:type="dcterms:W3CDTF">2015-09-02T18:24:00Z</dcterms:created>
  <dcterms:modified xsi:type="dcterms:W3CDTF">2015-09-02T20:49:00Z</dcterms:modified>
</cp:coreProperties>
</file>